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05C86A" w14:textId="77777777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>HB 2067 Residential Data Collection – Frequently Asked Questions</w:t>
      </w:r>
    </w:p>
    <w:p w14:paraId="11E67AD4" w14:textId="13213B2D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This FAQ provides an overview of House Bill 2067 (HB 2067) reporting requirements for insurers. Questions related to HB 2067 </w:t>
      </w:r>
      <w:r w:rsidR="006B5877">
        <w:rPr>
          <w:rFonts w:ascii="Aptos" w:hAnsi="Aptos" w:cs="Arial"/>
          <w:sz w:val="24"/>
          <w:szCs w:val="24"/>
        </w:rPr>
        <w:t xml:space="preserve">data </w:t>
      </w:r>
      <w:r w:rsidRPr="00EC1D67">
        <w:rPr>
          <w:rFonts w:ascii="Aptos" w:hAnsi="Aptos" w:cs="Arial"/>
          <w:sz w:val="24"/>
          <w:szCs w:val="24"/>
        </w:rPr>
        <w:t>reporting</w:t>
      </w:r>
      <w:r w:rsidR="006B5877">
        <w:rPr>
          <w:rFonts w:ascii="Aptos" w:hAnsi="Aptos" w:cs="Arial"/>
          <w:sz w:val="24"/>
          <w:szCs w:val="24"/>
        </w:rPr>
        <w:t xml:space="preserve"> </w:t>
      </w:r>
      <w:r w:rsidRPr="00EC1D67">
        <w:rPr>
          <w:rFonts w:ascii="Aptos" w:hAnsi="Aptos" w:cs="Arial"/>
          <w:sz w:val="24"/>
          <w:szCs w:val="24"/>
        </w:rPr>
        <w:t xml:space="preserve">should be directed to </w:t>
      </w:r>
      <w:r w:rsidR="00422313">
        <w:rPr>
          <w:rFonts w:ascii="Aptos" w:hAnsi="Aptos" w:cs="Arial"/>
          <w:sz w:val="24"/>
          <w:szCs w:val="24"/>
        </w:rPr>
        <w:t xml:space="preserve"> residential-support@ticostat.com</w:t>
      </w:r>
    </w:p>
    <w:p w14:paraId="5202D548" w14:textId="50A26AD8" w:rsidR="001C5F65" w:rsidRPr="00EC1D67" w:rsidRDefault="007B73D1" w:rsidP="002C29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>Compliance Overview: What Is Required and Who Must Report</w:t>
      </w:r>
    </w:p>
    <w:p w14:paraId="51BD02D2" w14:textId="77777777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>1. What is HB 2067 and who must report?</w:t>
      </w:r>
    </w:p>
    <w:p w14:paraId="5B22200F" w14:textId="6FCBF4EC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HB 2067 amended Texas Insurance Code Chapter 551 and requires certain insurers to provide written reasons to consumers for policy declinations, cancellations, and </w:t>
      </w:r>
      <w:proofErr w:type="spellStart"/>
      <w:r w:rsidRPr="00EC1D67">
        <w:rPr>
          <w:rFonts w:ascii="Aptos" w:hAnsi="Aptos" w:cs="Arial"/>
          <w:sz w:val="24"/>
          <w:szCs w:val="24"/>
        </w:rPr>
        <w:t>nonrenewals</w:t>
      </w:r>
      <w:proofErr w:type="spellEnd"/>
      <w:r w:rsidRPr="00EC1D67">
        <w:rPr>
          <w:rFonts w:ascii="Aptos" w:hAnsi="Aptos" w:cs="Arial"/>
          <w:sz w:val="24"/>
          <w:szCs w:val="24"/>
        </w:rPr>
        <w:t>, and to submit periodic reports summarizing those actions</w:t>
      </w:r>
      <w:r w:rsidR="006C544E" w:rsidRPr="00EC1D67">
        <w:rPr>
          <w:rFonts w:ascii="Aptos" w:hAnsi="Aptos" w:cs="Arial"/>
          <w:sz w:val="24"/>
          <w:szCs w:val="24"/>
        </w:rPr>
        <w:t xml:space="preserve"> to Texas Department of Insurance (TDI).  As TDI’s appointed statistical agent, this data is to be submitted to TICO.</w:t>
      </w:r>
    </w:p>
    <w:p w14:paraId="4734BD42" w14:textId="77777777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Reporting applies to insurers writing residential property insurance and private passenger auto insurance subject to the Texas statistical plans.</w:t>
      </w:r>
    </w:p>
    <w:p w14:paraId="4D4D76B3" w14:textId="10A01B68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>2. What data is required</w:t>
      </w:r>
      <w:r w:rsidR="00EC1D67">
        <w:rPr>
          <w:rFonts w:ascii="Aptos" w:hAnsi="Aptos" w:cs="Arial"/>
          <w:b/>
          <w:sz w:val="24"/>
          <w:szCs w:val="24"/>
        </w:rPr>
        <w:t xml:space="preserve"> to be submitted</w:t>
      </w:r>
      <w:r w:rsidR="006C2981">
        <w:rPr>
          <w:rFonts w:ascii="Aptos" w:hAnsi="Aptos" w:cs="Arial"/>
          <w:b/>
          <w:sz w:val="24"/>
          <w:szCs w:val="24"/>
        </w:rPr>
        <w:t xml:space="preserve"> pursuant</w:t>
      </w:r>
      <w:r w:rsidRPr="00EC1D67">
        <w:rPr>
          <w:rFonts w:ascii="Aptos" w:hAnsi="Aptos" w:cs="Arial"/>
          <w:b/>
          <w:sz w:val="24"/>
          <w:szCs w:val="24"/>
        </w:rPr>
        <w:t xml:space="preserve"> </w:t>
      </w:r>
      <w:r w:rsidR="006C2981">
        <w:rPr>
          <w:rFonts w:ascii="Aptos" w:hAnsi="Aptos" w:cs="Arial"/>
          <w:b/>
          <w:sz w:val="24"/>
          <w:szCs w:val="24"/>
        </w:rPr>
        <w:t>to</w:t>
      </w:r>
      <w:r w:rsidRPr="00EC1D67">
        <w:rPr>
          <w:rFonts w:ascii="Aptos" w:hAnsi="Aptos" w:cs="Arial"/>
          <w:b/>
          <w:sz w:val="24"/>
          <w:szCs w:val="24"/>
        </w:rPr>
        <w:t xml:space="preserve"> HB 2067</w:t>
      </w:r>
      <w:r w:rsidR="006C2981">
        <w:rPr>
          <w:rFonts w:ascii="Aptos" w:hAnsi="Aptos" w:cs="Arial"/>
          <w:b/>
          <w:sz w:val="24"/>
          <w:szCs w:val="24"/>
        </w:rPr>
        <w:t xml:space="preserve"> for residential property insurance</w:t>
      </w:r>
      <w:r w:rsidRPr="00EC1D67">
        <w:rPr>
          <w:rFonts w:ascii="Aptos" w:hAnsi="Aptos" w:cs="Arial"/>
          <w:b/>
          <w:sz w:val="24"/>
          <w:szCs w:val="24"/>
        </w:rPr>
        <w:t>?</w:t>
      </w:r>
    </w:p>
    <w:p w14:paraId="2FCF962F" w14:textId="7BF69093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HB 2067 requires reporting under two </w:t>
      </w:r>
      <w:r w:rsidR="00983FF6">
        <w:rPr>
          <w:rFonts w:ascii="Aptos" w:hAnsi="Aptos" w:cs="Arial"/>
          <w:sz w:val="24"/>
          <w:szCs w:val="24"/>
        </w:rPr>
        <w:t>new</w:t>
      </w:r>
      <w:r w:rsidR="00576171">
        <w:rPr>
          <w:rFonts w:ascii="Aptos" w:hAnsi="Aptos" w:cs="Arial"/>
          <w:sz w:val="24"/>
          <w:szCs w:val="24"/>
        </w:rPr>
        <w:t xml:space="preserve"> sections of the revised</w:t>
      </w:r>
      <w:r w:rsidRPr="00EC1D67">
        <w:rPr>
          <w:rFonts w:ascii="Aptos" w:hAnsi="Aptos" w:cs="Arial"/>
          <w:sz w:val="24"/>
          <w:szCs w:val="24"/>
        </w:rPr>
        <w:t xml:space="preserve"> statistical plan</w:t>
      </w:r>
      <w:r w:rsidR="00576171">
        <w:rPr>
          <w:rFonts w:ascii="Aptos" w:hAnsi="Aptos" w:cs="Arial"/>
          <w:sz w:val="24"/>
          <w:szCs w:val="24"/>
        </w:rPr>
        <w:t xml:space="preserve"> (refer to new Sections E and F within the amended statistical plan</w:t>
      </w:r>
      <w:r w:rsidR="00301721">
        <w:rPr>
          <w:rFonts w:ascii="Aptos" w:hAnsi="Aptos" w:cs="Arial"/>
          <w:sz w:val="24"/>
          <w:szCs w:val="24"/>
        </w:rPr>
        <w:t>) which went into effect April 1, 2026</w:t>
      </w:r>
      <w:r w:rsidRPr="00EC1D67">
        <w:rPr>
          <w:rFonts w:ascii="Aptos" w:hAnsi="Aptos" w:cs="Arial"/>
          <w:sz w:val="24"/>
          <w:szCs w:val="24"/>
        </w:rPr>
        <w:t>:</w:t>
      </w:r>
    </w:p>
    <w:p w14:paraId="49C144CB" w14:textId="44D34857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• </w:t>
      </w:r>
      <w:r w:rsidR="004C1D64">
        <w:rPr>
          <w:rFonts w:ascii="Aptos" w:hAnsi="Aptos" w:cs="Arial"/>
          <w:sz w:val="24"/>
          <w:szCs w:val="24"/>
        </w:rPr>
        <w:t xml:space="preserve"> </w:t>
      </w:r>
      <w:r w:rsidRPr="00EC1D67">
        <w:rPr>
          <w:rFonts w:ascii="Aptos" w:hAnsi="Aptos" w:cs="Arial"/>
          <w:sz w:val="24"/>
          <w:szCs w:val="24"/>
        </w:rPr>
        <w:t>Statistical Plan 5 – Notices (declinations, cancellations, non</w:t>
      </w:r>
      <w:r w:rsidRPr="00EC1D67">
        <w:rPr>
          <w:rFonts w:ascii="Cambria Math" w:hAnsi="Cambria Math" w:cs="Cambria Math"/>
          <w:sz w:val="24"/>
          <w:szCs w:val="24"/>
        </w:rPr>
        <w:t>‑</w:t>
      </w:r>
      <w:r w:rsidRPr="00EC1D67">
        <w:rPr>
          <w:rFonts w:ascii="Aptos" w:hAnsi="Aptos" w:cs="Arial"/>
          <w:sz w:val="24"/>
          <w:szCs w:val="24"/>
        </w:rPr>
        <w:t>renewals)</w:t>
      </w:r>
    </w:p>
    <w:p w14:paraId="1678F0AC" w14:textId="788B16C1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• </w:t>
      </w:r>
      <w:r w:rsidR="004C1D64">
        <w:rPr>
          <w:rFonts w:ascii="Aptos" w:hAnsi="Aptos" w:cs="Arial"/>
          <w:sz w:val="24"/>
          <w:szCs w:val="24"/>
        </w:rPr>
        <w:t xml:space="preserve"> </w:t>
      </w:r>
      <w:r w:rsidRPr="00EC1D67">
        <w:rPr>
          <w:rFonts w:ascii="Aptos" w:hAnsi="Aptos" w:cs="Arial"/>
          <w:sz w:val="24"/>
          <w:szCs w:val="24"/>
        </w:rPr>
        <w:t>Statistical Plan 6 – Actuals (what actually happened following the notice)</w:t>
      </w:r>
    </w:p>
    <w:p w14:paraId="38B5B08E" w14:textId="6558D7CA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These </w:t>
      </w:r>
      <w:r w:rsidR="004C1D64">
        <w:rPr>
          <w:rFonts w:ascii="Aptos" w:hAnsi="Aptos" w:cs="Arial"/>
          <w:sz w:val="24"/>
          <w:szCs w:val="24"/>
        </w:rPr>
        <w:t>data submissions</w:t>
      </w:r>
      <w:r w:rsidR="00023152">
        <w:rPr>
          <w:rFonts w:ascii="Aptos" w:hAnsi="Aptos" w:cs="Arial"/>
          <w:sz w:val="24"/>
          <w:szCs w:val="24"/>
        </w:rPr>
        <w:t xml:space="preserve"> are separate</w:t>
      </w:r>
      <w:r w:rsidRPr="00EC1D67">
        <w:rPr>
          <w:rFonts w:ascii="Aptos" w:hAnsi="Aptos" w:cs="Arial"/>
          <w:sz w:val="24"/>
          <w:szCs w:val="24"/>
        </w:rPr>
        <w:t xml:space="preserve"> from premium and loss reporting and must not be included in premium or loss files.</w:t>
      </w:r>
    </w:p>
    <w:p w14:paraId="2D4308A9" w14:textId="77777777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>3. When does HB 2067 reporting begin and when is the first due date?</w:t>
      </w:r>
    </w:p>
    <w:p w14:paraId="7FB00366" w14:textId="5F3FC373" w:rsidR="001C5F65" w:rsidRDefault="00257081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 xml:space="preserve">HB2067 requires monthly data reporting for residential insurance.  </w:t>
      </w:r>
      <w:r w:rsidR="007B73D1" w:rsidRPr="00EC1D67">
        <w:rPr>
          <w:rFonts w:ascii="Aptos" w:hAnsi="Aptos" w:cs="Arial"/>
          <w:sz w:val="24"/>
          <w:szCs w:val="24"/>
        </w:rPr>
        <w:t xml:space="preserve">The first reporting </w:t>
      </w:r>
      <w:r w:rsidR="00921DFF">
        <w:rPr>
          <w:rFonts w:ascii="Aptos" w:hAnsi="Aptos" w:cs="Arial"/>
          <w:sz w:val="24"/>
          <w:szCs w:val="24"/>
        </w:rPr>
        <w:t xml:space="preserve">month </w:t>
      </w:r>
      <w:r w:rsidR="007B73D1" w:rsidRPr="00EC1D67">
        <w:rPr>
          <w:rFonts w:ascii="Aptos" w:hAnsi="Aptos" w:cs="Arial"/>
          <w:sz w:val="24"/>
          <w:szCs w:val="24"/>
        </w:rPr>
        <w:t>is April 2026.</w:t>
      </w:r>
    </w:p>
    <w:p w14:paraId="5F550292" w14:textId="22895914" w:rsidR="00426077" w:rsidRPr="001A2ADD" w:rsidRDefault="00426077" w:rsidP="00426077">
      <w:pPr>
        <w:rPr>
          <w:rFonts w:ascii="Aptos" w:hAnsi="Aptos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The first </w:t>
      </w:r>
      <w:r>
        <w:rPr>
          <w:rFonts w:ascii="Aptos" w:hAnsi="Aptos" w:cs="Arial"/>
          <w:sz w:val="24"/>
          <w:szCs w:val="24"/>
        </w:rPr>
        <w:t xml:space="preserve">data </w:t>
      </w:r>
      <w:r w:rsidRPr="00EC1D67">
        <w:rPr>
          <w:rFonts w:ascii="Aptos" w:hAnsi="Aptos" w:cs="Arial"/>
          <w:sz w:val="24"/>
          <w:szCs w:val="24"/>
        </w:rPr>
        <w:t>submission</w:t>
      </w:r>
      <w:r>
        <w:rPr>
          <w:rFonts w:ascii="Aptos" w:hAnsi="Aptos" w:cs="Arial"/>
          <w:sz w:val="24"/>
          <w:szCs w:val="24"/>
        </w:rPr>
        <w:t xml:space="preserve"> is</w:t>
      </w:r>
      <w:r w:rsidRPr="00EC1D67">
        <w:rPr>
          <w:rFonts w:ascii="Aptos" w:hAnsi="Aptos" w:cs="Arial"/>
          <w:sz w:val="24"/>
          <w:szCs w:val="24"/>
        </w:rPr>
        <w:t xml:space="preserve">  due June 15, 2026. Extensions </w:t>
      </w:r>
      <w:r>
        <w:rPr>
          <w:rFonts w:ascii="Aptos" w:hAnsi="Aptos" w:cs="Arial"/>
          <w:sz w:val="24"/>
          <w:szCs w:val="24"/>
        </w:rPr>
        <w:t>will</w:t>
      </w:r>
      <w:r w:rsidRPr="00EC1D67">
        <w:rPr>
          <w:rFonts w:ascii="Aptos" w:hAnsi="Aptos" w:cs="Arial"/>
          <w:sz w:val="24"/>
          <w:szCs w:val="24"/>
        </w:rPr>
        <w:t xml:space="preserve"> not</w:t>
      </w:r>
      <w:r>
        <w:rPr>
          <w:rFonts w:ascii="Aptos" w:hAnsi="Aptos" w:cs="Arial"/>
          <w:sz w:val="24"/>
          <w:szCs w:val="24"/>
        </w:rPr>
        <w:t xml:space="preserve"> be</w:t>
      </w:r>
      <w:r w:rsidRPr="00EC1D67">
        <w:rPr>
          <w:rFonts w:ascii="Aptos" w:hAnsi="Aptos" w:cs="Arial"/>
          <w:sz w:val="24"/>
          <w:szCs w:val="24"/>
        </w:rPr>
        <w:t xml:space="preserve"> granted</w:t>
      </w:r>
      <w:r>
        <w:rPr>
          <w:rFonts w:ascii="Aptos" w:hAnsi="Aptos" w:cs="Arial"/>
          <w:sz w:val="24"/>
          <w:szCs w:val="24"/>
        </w:rPr>
        <w:t xml:space="preserve"> unless the company has received an approved exception from TDI</w:t>
      </w:r>
      <w:r w:rsidRPr="00EC1D67">
        <w:rPr>
          <w:rFonts w:ascii="Aptos" w:hAnsi="Aptos" w:cs="Arial"/>
          <w:sz w:val="24"/>
          <w:szCs w:val="24"/>
        </w:rPr>
        <w:t>.</w:t>
      </w:r>
    </w:p>
    <w:p w14:paraId="4C92AA8A" w14:textId="37B8177C" w:rsidR="001A2ADD" w:rsidRPr="00426077" w:rsidRDefault="00BA7CB1">
      <w:pPr>
        <w:rPr>
          <w:rFonts w:ascii="Aptos" w:hAnsi="Aptos"/>
          <w:sz w:val="24"/>
          <w:szCs w:val="24"/>
          <w:u w:val="single"/>
        </w:rPr>
      </w:pPr>
      <w:r w:rsidRPr="00426077">
        <w:rPr>
          <w:rFonts w:ascii="Aptos" w:hAnsi="Aptos"/>
          <w:sz w:val="24"/>
          <w:szCs w:val="24"/>
          <w:u w:val="single"/>
        </w:rPr>
        <w:t xml:space="preserve">Special Note – </w:t>
      </w:r>
      <w:proofErr w:type="spellStart"/>
      <w:r w:rsidRPr="00426077">
        <w:rPr>
          <w:rFonts w:ascii="Aptos" w:hAnsi="Aptos"/>
          <w:sz w:val="24"/>
          <w:szCs w:val="24"/>
          <w:u w:val="single"/>
        </w:rPr>
        <w:t>Nonrenewals</w:t>
      </w:r>
      <w:proofErr w:type="spellEnd"/>
      <w:r w:rsidRPr="00426077">
        <w:rPr>
          <w:rFonts w:ascii="Aptos" w:hAnsi="Aptos"/>
          <w:sz w:val="24"/>
          <w:szCs w:val="24"/>
          <w:u w:val="single"/>
        </w:rPr>
        <w:t xml:space="preserve">:  </w:t>
      </w:r>
      <w:r w:rsidR="00426077" w:rsidRPr="00426077">
        <w:rPr>
          <w:rFonts w:ascii="Aptos" w:hAnsi="Aptos"/>
          <w:sz w:val="24"/>
          <w:szCs w:val="24"/>
          <w:u w:val="single"/>
        </w:rPr>
        <w:t>N</w:t>
      </w:r>
      <w:r w:rsidRPr="00426077">
        <w:rPr>
          <w:rFonts w:ascii="Aptos" w:hAnsi="Aptos"/>
          <w:sz w:val="24"/>
          <w:szCs w:val="24"/>
          <w:u w:val="single"/>
        </w:rPr>
        <w:t xml:space="preserve">onrenewal notices issued before April 1, 2026, for policies with nonrenewal effective dates of April 1, 2026 or later, </w:t>
      </w:r>
      <w:r w:rsidR="00426077" w:rsidRPr="00426077">
        <w:rPr>
          <w:rFonts w:ascii="Aptos" w:hAnsi="Aptos"/>
          <w:sz w:val="24"/>
          <w:szCs w:val="24"/>
          <w:u w:val="single"/>
        </w:rPr>
        <w:t>are required to be reported</w:t>
      </w:r>
      <w:r w:rsidR="0084745F" w:rsidRPr="00426077">
        <w:rPr>
          <w:rFonts w:ascii="Aptos" w:hAnsi="Aptos"/>
          <w:sz w:val="24"/>
          <w:szCs w:val="24"/>
          <w:u w:val="single"/>
        </w:rPr>
        <w:t xml:space="preserve"> </w:t>
      </w:r>
      <w:r w:rsidR="00426077" w:rsidRPr="00426077">
        <w:rPr>
          <w:rFonts w:ascii="Aptos" w:hAnsi="Aptos"/>
          <w:sz w:val="24"/>
          <w:szCs w:val="24"/>
          <w:u w:val="single"/>
        </w:rPr>
        <w:t>with the</w:t>
      </w:r>
      <w:r w:rsidRPr="00426077">
        <w:rPr>
          <w:rFonts w:ascii="Aptos" w:hAnsi="Aptos"/>
          <w:sz w:val="24"/>
          <w:szCs w:val="24"/>
          <w:u w:val="single"/>
        </w:rPr>
        <w:t xml:space="preserve"> first submission but </w:t>
      </w:r>
      <w:r w:rsidR="00426077" w:rsidRPr="00426077">
        <w:rPr>
          <w:rFonts w:ascii="Aptos" w:hAnsi="Aptos"/>
          <w:sz w:val="24"/>
          <w:szCs w:val="24"/>
          <w:u w:val="single"/>
        </w:rPr>
        <w:t>should be reported</w:t>
      </w:r>
      <w:r w:rsidRPr="00426077">
        <w:rPr>
          <w:rFonts w:ascii="Aptos" w:hAnsi="Aptos"/>
          <w:sz w:val="24"/>
          <w:szCs w:val="24"/>
          <w:u w:val="single"/>
        </w:rPr>
        <w:t xml:space="preserve"> in a separate file for the</w:t>
      </w:r>
      <w:r w:rsidR="00C60295">
        <w:rPr>
          <w:rFonts w:ascii="Aptos" w:hAnsi="Aptos"/>
          <w:sz w:val="24"/>
          <w:szCs w:val="24"/>
          <w:u w:val="single"/>
        </w:rPr>
        <w:t xml:space="preserve"> </w:t>
      </w:r>
      <w:r w:rsidRPr="00426077">
        <w:rPr>
          <w:rFonts w:ascii="Aptos" w:hAnsi="Aptos"/>
          <w:sz w:val="24"/>
          <w:szCs w:val="24"/>
          <w:u w:val="single"/>
        </w:rPr>
        <w:lastRenderedPageBreak/>
        <w:t>month the notice was issued. For example, March notices should be submitted in a separate March file</w:t>
      </w:r>
      <w:r w:rsidRPr="00426077">
        <w:rPr>
          <w:u w:val="single"/>
        </w:rPr>
        <w:t>.</w:t>
      </w:r>
    </w:p>
    <w:p w14:paraId="15101302" w14:textId="1C644424" w:rsidR="001C5F65" w:rsidRPr="00EC1D67" w:rsidRDefault="007B73D1">
      <w:pPr>
        <w:rPr>
          <w:rFonts w:ascii="Aptos" w:hAnsi="Aptos" w:cs="Arial"/>
          <w:b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 xml:space="preserve">4. </w:t>
      </w:r>
      <w:r w:rsidR="00B65284" w:rsidRPr="00EC1D67">
        <w:rPr>
          <w:rFonts w:ascii="Aptos" w:hAnsi="Aptos" w:cs="Arial"/>
          <w:b/>
          <w:sz w:val="24"/>
          <w:szCs w:val="24"/>
        </w:rPr>
        <w:t xml:space="preserve">Are </w:t>
      </w:r>
      <w:r w:rsidR="00B92297" w:rsidRPr="00EC1D67">
        <w:rPr>
          <w:rFonts w:ascii="Aptos" w:hAnsi="Aptos" w:cs="Arial"/>
          <w:b/>
          <w:sz w:val="24"/>
          <w:szCs w:val="24"/>
        </w:rPr>
        <w:t>there penalties for late file submissions</w:t>
      </w:r>
      <w:r w:rsidR="008A1370" w:rsidRPr="00EC1D67">
        <w:rPr>
          <w:rFonts w:ascii="Aptos" w:hAnsi="Aptos" w:cs="Arial"/>
          <w:b/>
          <w:sz w:val="24"/>
          <w:szCs w:val="24"/>
        </w:rPr>
        <w:t>?</w:t>
      </w:r>
    </w:p>
    <w:p w14:paraId="3C26E5C3" w14:textId="5DBB4DF9" w:rsidR="00354449" w:rsidRPr="00EC1D67" w:rsidRDefault="009133DC" w:rsidP="00354449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Yes. Files must be </w:t>
      </w:r>
      <w:r w:rsidRPr="00EC1D67">
        <w:rPr>
          <w:rStyle w:val="Strong"/>
          <w:rFonts w:ascii="Aptos" w:hAnsi="Aptos" w:cs="Arial"/>
          <w:b w:val="0"/>
          <w:bCs w:val="0"/>
          <w:sz w:val="24"/>
          <w:szCs w:val="24"/>
        </w:rPr>
        <w:t>successfully submitted and accepted through the online</w:t>
      </w:r>
      <w:r w:rsidRPr="00EC1D67">
        <w:rPr>
          <w:rStyle w:val="Strong"/>
          <w:rFonts w:ascii="Aptos" w:hAnsi="Aptos" w:cs="Arial"/>
          <w:sz w:val="24"/>
          <w:szCs w:val="24"/>
        </w:rPr>
        <w:t xml:space="preserve"> </w:t>
      </w:r>
      <w:r w:rsidRPr="00EC1D67">
        <w:rPr>
          <w:rStyle w:val="Strong"/>
          <w:rFonts w:ascii="Aptos" w:hAnsi="Aptos" w:cs="Arial"/>
          <w:b w:val="0"/>
          <w:bCs w:val="0"/>
          <w:sz w:val="24"/>
          <w:szCs w:val="24"/>
        </w:rPr>
        <w:t>filing system by the due date</w:t>
      </w:r>
      <w:r w:rsidRPr="00EC1D67">
        <w:rPr>
          <w:rFonts w:ascii="Aptos" w:hAnsi="Aptos" w:cs="Arial"/>
          <w:b/>
          <w:bCs/>
          <w:sz w:val="24"/>
          <w:szCs w:val="24"/>
        </w:rPr>
        <w:t>.</w:t>
      </w:r>
      <w:r w:rsidRPr="00EC1D67">
        <w:rPr>
          <w:rFonts w:ascii="Aptos" w:hAnsi="Aptos" w:cs="Arial"/>
          <w:sz w:val="24"/>
          <w:szCs w:val="24"/>
        </w:rPr>
        <w:t xml:space="preserve"> Files not accepted by the due date may be assessed a late fee of </w:t>
      </w:r>
      <w:r w:rsidRPr="00EC1D67">
        <w:rPr>
          <w:rStyle w:val="Strong"/>
          <w:rFonts w:ascii="Aptos" w:hAnsi="Aptos" w:cs="Arial"/>
          <w:b w:val="0"/>
          <w:bCs w:val="0"/>
          <w:sz w:val="24"/>
          <w:szCs w:val="24"/>
        </w:rPr>
        <w:t>$25 per business day</w:t>
      </w:r>
      <w:r w:rsidRPr="00EC1D67">
        <w:rPr>
          <w:rFonts w:ascii="Aptos" w:hAnsi="Aptos" w:cs="Arial"/>
          <w:sz w:val="24"/>
          <w:szCs w:val="24"/>
        </w:rPr>
        <w:t xml:space="preserve"> until an accepted filing is </w:t>
      </w:r>
      <w:r w:rsidR="003D3E05" w:rsidRPr="00EC1D67">
        <w:rPr>
          <w:rFonts w:ascii="Aptos" w:hAnsi="Aptos" w:cs="Arial"/>
          <w:sz w:val="24"/>
          <w:szCs w:val="24"/>
        </w:rPr>
        <w:t>made</w:t>
      </w:r>
      <w:r w:rsidRPr="00EC1D67">
        <w:rPr>
          <w:rFonts w:ascii="Aptos" w:hAnsi="Aptos" w:cs="Arial"/>
          <w:sz w:val="24"/>
          <w:szCs w:val="24"/>
        </w:rPr>
        <w:t>. We encourage companies to submit early enough to allow time to resolve any validation or edit issues prior to the deadline.</w:t>
      </w:r>
    </w:p>
    <w:p w14:paraId="5C48C273" w14:textId="4A90DDAD" w:rsidR="00354449" w:rsidRPr="00EC1D67" w:rsidRDefault="00354449" w:rsidP="00354449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 xml:space="preserve">5. Do we need to </w:t>
      </w:r>
      <w:r w:rsidR="003D570B">
        <w:rPr>
          <w:rFonts w:ascii="Aptos" w:hAnsi="Aptos" w:cs="Arial"/>
          <w:b/>
          <w:sz w:val="24"/>
          <w:szCs w:val="24"/>
        </w:rPr>
        <w:t>report</w:t>
      </w:r>
      <w:r w:rsidRPr="00EC1D67">
        <w:rPr>
          <w:rFonts w:ascii="Aptos" w:hAnsi="Aptos" w:cs="Arial"/>
          <w:b/>
          <w:sz w:val="24"/>
          <w:szCs w:val="24"/>
        </w:rPr>
        <w:t xml:space="preserve"> if we submit zero premium or no longer write business?</w:t>
      </w:r>
    </w:p>
    <w:p w14:paraId="6E589A2E" w14:textId="77777777" w:rsidR="00354449" w:rsidRPr="00EC1D67" w:rsidRDefault="00354449" w:rsidP="00354449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Companies reporting zero premium may still be required to report HB 2067 data if they issue declinations, cancellations, or non</w:t>
      </w:r>
      <w:r w:rsidRPr="00EC1D67">
        <w:rPr>
          <w:rFonts w:ascii="Cambria Math" w:hAnsi="Cambria Math" w:cs="Cambria Math"/>
          <w:sz w:val="24"/>
          <w:szCs w:val="24"/>
        </w:rPr>
        <w:t>‑</w:t>
      </w:r>
      <w:r w:rsidRPr="00EC1D67">
        <w:rPr>
          <w:rFonts w:ascii="Aptos" w:hAnsi="Aptos" w:cs="Arial"/>
          <w:sz w:val="24"/>
          <w:szCs w:val="24"/>
        </w:rPr>
        <w:t>renewals.</w:t>
      </w:r>
    </w:p>
    <w:p w14:paraId="076A62BB" w14:textId="228BCA8D" w:rsidR="00354449" w:rsidRDefault="00523298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>Zero premium does not automatically exempt companies from HB 2067</w:t>
      </w:r>
      <w:r w:rsidR="006B3DFC">
        <w:rPr>
          <w:rFonts w:ascii="Aptos" w:hAnsi="Aptos" w:cs="Arial"/>
          <w:sz w:val="24"/>
          <w:szCs w:val="24"/>
        </w:rPr>
        <w:t xml:space="preserve"> reporting requirements.</w:t>
      </w:r>
    </w:p>
    <w:p w14:paraId="0025B803" w14:textId="7E0B91BA" w:rsidR="00FD535B" w:rsidRPr="00B94EB8" w:rsidRDefault="00B8570D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6</w:t>
      </w:r>
      <w:r w:rsidR="00FD535B" w:rsidRPr="00F6126E">
        <w:rPr>
          <w:rFonts w:ascii="Aptos" w:hAnsi="Aptos" w:cs="Arial"/>
          <w:b/>
          <w:bCs/>
          <w:sz w:val="24"/>
          <w:szCs w:val="24"/>
        </w:rPr>
        <w:t>.</w:t>
      </w:r>
      <w:r w:rsidR="00FD535B">
        <w:rPr>
          <w:rFonts w:ascii="Aptos" w:hAnsi="Aptos" w:cs="Arial"/>
          <w:sz w:val="24"/>
          <w:szCs w:val="24"/>
        </w:rPr>
        <w:t xml:space="preserve">  </w:t>
      </w:r>
      <w:r w:rsidR="00FD535B" w:rsidRPr="00B94EB8">
        <w:rPr>
          <w:rFonts w:ascii="Aptos" w:hAnsi="Aptos" w:cs="Arial"/>
          <w:b/>
          <w:bCs/>
          <w:sz w:val="24"/>
          <w:szCs w:val="24"/>
        </w:rPr>
        <w:t>What if we</w:t>
      </w:r>
      <w:r w:rsidR="00C749FE" w:rsidRPr="00B94EB8">
        <w:rPr>
          <w:rFonts w:ascii="Aptos" w:hAnsi="Aptos" w:cs="Arial"/>
          <w:b/>
          <w:bCs/>
          <w:sz w:val="24"/>
          <w:szCs w:val="24"/>
        </w:rPr>
        <w:t xml:space="preserve"> discover we</w:t>
      </w:r>
      <w:r w:rsidR="00FD535B" w:rsidRPr="00B94EB8">
        <w:rPr>
          <w:rFonts w:ascii="Aptos" w:hAnsi="Aptos" w:cs="Arial"/>
          <w:b/>
          <w:bCs/>
          <w:sz w:val="24"/>
          <w:szCs w:val="24"/>
        </w:rPr>
        <w:t xml:space="preserve"> </w:t>
      </w:r>
      <w:r w:rsidR="00D84DED" w:rsidRPr="00B94EB8">
        <w:rPr>
          <w:rFonts w:ascii="Aptos" w:hAnsi="Aptos" w:cs="Arial"/>
          <w:b/>
          <w:bCs/>
          <w:sz w:val="24"/>
          <w:szCs w:val="24"/>
        </w:rPr>
        <w:t xml:space="preserve">have </w:t>
      </w:r>
      <w:r w:rsidR="00F6126E" w:rsidRPr="00B94EB8">
        <w:rPr>
          <w:rFonts w:ascii="Aptos" w:hAnsi="Aptos" w:cs="Arial"/>
          <w:b/>
          <w:bCs/>
          <w:sz w:val="24"/>
          <w:szCs w:val="24"/>
        </w:rPr>
        <w:t>additional</w:t>
      </w:r>
      <w:r w:rsidR="00D84DED" w:rsidRPr="00B94EB8">
        <w:rPr>
          <w:rFonts w:ascii="Aptos" w:hAnsi="Aptos" w:cs="Arial"/>
          <w:b/>
          <w:bCs/>
          <w:sz w:val="24"/>
          <w:szCs w:val="24"/>
        </w:rPr>
        <w:t xml:space="preserve"> transactions to report for an account month, after we</w:t>
      </w:r>
      <w:r w:rsidR="00C749FE" w:rsidRPr="00B94EB8">
        <w:rPr>
          <w:rFonts w:ascii="Aptos" w:hAnsi="Aptos" w:cs="Arial"/>
          <w:b/>
          <w:bCs/>
          <w:sz w:val="24"/>
          <w:szCs w:val="24"/>
        </w:rPr>
        <w:t xml:space="preserve"> have already submitted that account month?</w:t>
      </w:r>
    </w:p>
    <w:p w14:paraId="6227D091" w14:textId="7B3783F0" w:rsidR="00C749FE" w:rsidRDefault="00C749FE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 xml:space="preserve">Notify </w:t>
      </w:r>
      <w:r w:rsidR="00422313">
        <w:rPr>
          <w:rFonts w:ascii="Aptos" w:hAnsi="Aptos" w:cs="Arial"/>
          <w:sz w:val="24"/>
          <w:szCs w:val="24"/>
        </w:rPr>
        <w:t>residential-support@ticostat.com</w:t>
      </w:r>
      <w:r>
        <w:rPr>
          <w:rFonts w:ascii="Aptos" w:hAnsi="Aptos" w:cs="Arial"/>
          <w:sz w:val="24"/>
          <w:szCs w:val="24"/>
        </w:rPr>
        <w:t xml:space="preserve"> that you have</w:t>
      </w:r>
      <w:r w:rsidR="00F843B3">
        <w:rPr>
          <w:rFonts w:ascii="Aptos" w:hAnsi="Aptos" w:cs="Arial"/>
          <w:sz w:val="24"/>
          <w:szCs w:val="24"/>
        </w:rPr>
        <w:t xml:space="preserve"> “supplemental” data to report.  TICO will provide further instructions </w:t>
      </w:r>
      <w:r w:rsidR="00F6126E">
        <w:rPr>
          <w:rFonts w:ascii="Aptos" w:hAnsi="Aptos" w:cs="Arial"/>
          <w:sz w:val="24"/>
          <w:szCs w:val="24"/>
        </w:rPr>
        <w:t>upon your request.</w:t>
      </w:r>
    </w:p>
    <w:p w14:paraId="1A118F9C" w14:textId="375C9AFD" w:rsidR="00437973" w:rsidRDefault="00B8570D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7</w:t>
      </w:r>
      <w:r w:rsidR="00437973" w:rsidRPr="00DB688A">
        <w:rPr>
          <w:rFonts w:ascii="Aptos" w:hAnsi="Aptos" w:cs="Arial"/>
          <w:b/>
          <w:bCs/>
          <w:sz w:val="24"/>
          <w:szCs w:val="24"/>
        </w:rPr>
        <w:t>.</w:t>
      </w:r>
      <w:r w:rsidR="00437973">
        <w:rPr>
          <w:rFonts w:ascii="Aptos" w:hAnsi="Aptos" w:cs="Arial"/>
          <w:sz w:val="24"/>
          <w:szCs w:val="24"/>
        </w:rPr>
        <w:t xml:space="preserve">  </w:t>
      </w:r>
      <w:r w:rsidR="00437973" w:rsidRPr="00B94EB8">
        <w:rPr>
          <w:rFonts w:ascii="Aptos" w:hAnsi="Aptos" w:cs="Arial"/>
          <w:b/>
          <w:bCs/>
          <w:sz w:val="24"/>
          <w:szCs w:val="24"/>
        </w:rPr>
        <w:t xml:space="preserve">What if we discover </w:t>
      </w:r>
      <w:r w:rsidR="00E742DE">
        <w:rPr>
          <w:rFonts w:ascii="Aptos" w:hAnsi="Aptos" w:cs="Arial"/>
          <w:b/>
          <w:bCs/>
          <w:sz w:val="24"/>
          <w:szCs w:val="24"/>
        </w:rPr>
        <w:t xml:space="preserve">a file that was previously submitted and accepted, has incorrect </w:t>
      </w:r>
      <w:r w:rsidR="00BF6EB0">
        <w:rPr>
          <w:rFonts w:ascii="Aptos" w:hAnsi="Aptos" w:cs="Arial"/>
          <w:b/>
          <w:bCs/>
          <w:sz w:val="24"/>
          <w:szCs w:val="24"/>
        </w:rPr>
        <w:t>data</w:t>
      </w:r>
      <w:r w:rsidR="007A2C11" w:rsidRPr="00B94EB8">
        <w:rPr>
          <w:rFonts w:ascii="Aptos" w:hAnsi="Aptos" w:cs="Arial"/>
          <w:b/>
          <w:bCs/>
          <w:sz w:val="24"/>
          <w:szCs w:val="24"/>
        </w:rPr>
        <w:t>?  How is data corrected?</w:t>
      </w:r>
    </w:p>
    <w:p w14:paraId="22DA690D" w14:textId="110E32DB" w:rsidR="0066180A" w:rsidRPr="001A2ADD" w:rsidRDefault="007A2C11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>Company should send a request to</w:t>
      </w:r>
      <w:r w:rsidR="00422313" w:rsidRPr="00422313">
        <w:rPr>
          <w:rFonts w:ascii="Aptos" w:hAnsi="Aptos" w:cs="Arial"/>
          <w:sz w:val="24"/>
          <w:szCs w:val="24"/>
        </w:rPr>
        <w:t xml:space="preserve"> </w:t>
      </w:r>
      <w:r w:rsidR="00422313">
        <w:rPr>
          <w:rFonts w:ascii="Aptos" w:hAnsi="Aptos" w:cs="Arial"/>
          <w:sz w:val="24"/>
          <w:szCs w:val="24"/>
        </w:rPr>
        <w:t>residential-support@ticostat.com</w:t>
      </w:r>
      <w:r>
        <w:rPr>
          <w:rFonts w:ascii="Aptos" w:hAnsi="Aptos" w:cs="Arial"/>
          <w:sz w:val="24"/>
          <w:szCs w:val="24"/>
        </w:rPr>
        <w:t xml:space="preserve"> for file resubmission.</w:t>
      </w:r>
      <w:r w:rsidR="00DB688A">
        <w:rPr>
          <w:rFonts w:ascii="Aptos" w:hAnsi="Aptos" w:cs="Arial"/>
          <w:sz w:val="24"/>
          <w:szCs w:val="24"/>
        </w:rPr>
        <w:t xml:space="preserve">  TICO will provide further instructions upon your request.</w:t>
      </w:r>
    </w:p>
    <w:p w14:paraId="2D722E45" w14:textId="40B6FB23" w:rsidR="00544C26" w:rsidRDefault="00B8570D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8</w:t>
      </w:r>
      <w:r w:rsidR="00544C26" w:rsidRPr="00845C7B">
        <w:rPr>
          <w:rFonts w:ascii="Aptos" w:hAnsi="Aptos" w:cs="Arial"/>
          <w:b/>
          <w:bCs/>
          <w:sz w:val="24"/>
          <w:szCs w:val="24"/>
        </w:rPr>
        <w:t>.  What if I h</w:t>
      </w:r>
      <w:r w:rsidR="004461DE" w:rsidRPr="00845C7B">
        <w:rPr>
          <w:rFonts w:ascii="Aptos" w:hAnsi="Aptos" w:cs="Arial"/>
          <w:b/>
          <w:bCs/>
          <w:sz w:val="24"/>
          <w:szCs w:val="24"/>
        </w:rPr>
        <w:t>ave an experience month with no transactions</w:t>
      </w:r>
      <w:r w:rsidR="00845C7B" w:rsidRPr="00845C7B">
        <w:rPr>
          <w:rFonts w:ascii="Aptos" w:hAnsi="Aptos" w:cs="Arial"/>
          <w:b/>
          <w:bCs/>
          <w:sz w:val="24"/>
          <w:szCs w:val="24"/>
        </w:rPr>
        <w:t xml:space="preserve"> to report</w:t>
      </w:r>
      <w:r w:rsidR="004461DE" w:rsidRPr="00845C7B">
        <w:rPr>
          <w:rFonts w:ascii="Aptos" w:hAnsi="Aptos" w:cs="Arial"/>
          <w:b/>
          <w:bCs/>
          <w:sz w:val="24"/>
          <w:szCs w:val="24"/>
        </w:rPr>
        <w:t xml:space="preserve"> for either</w:t>
      </w:r>
      <w:r w:rsidR="00845C7B" w:rsidRPr="00845C7B">
        <w:rPr>
          <w:rFonts w:ascii="Aptos" w:hAnsi="Aptos" w:cs="Arial"/>
          <w:b/>
          <w:bCs/>
          <w:sz w:val="24"/>
          <w:szCs w:val="24"/>
        </w:rPr>
        <w:t xml:space="preserve"> Notices</w:t>
      </w:r>
      <w:r w:rsidR="001E54B8">
        <w:rPr>
          <w:rFonts w:ascii="Aptos" w:hAnsi="Aptos" w:cs="Arial"/>
          <w:b/>
          <w:bCs/>
          <w:sz w:val="24"/>
          <w:szCs w:val="24"/>
        </w:rPr>
        <w:t xml:space="preserve"> (stat plan 5)</w:t>
      </w:r>
      <w:r w:rsidR="00845C7B" w:rsidRPr="00845C7B">
        <w:rPr>
          <w:rFonts w:ascii="Aptos" w:hAnsi="Aptos" w:cs="Arial"/>
          <w:b/>
          <w:bCs/>
          <w:sz w:val="24"/>
          <w:szCs w:val="24"/>
        </w:rPr>
        <w:t>, or Actuals</w:t>
      </w:r>
      <w:r w:rsidR="001E54B8">
        <w:rPr>
          <w:rFonts w:ascii="Aptos" w:hAnsi="Aptos" w:cs="Arial"/>
          <w:b/>
          <w:bCs/>
          <w:sz w:val="24"/>
          <w:szCs w:val="24"/>
        </w:rPr>
        <w:t xml:space="preserve"> (stat plan 6)</w:t>
      </w:r>
      <w:r w:rsidR="00845C7B" w:rsidRPr="00845C7B">
        <w:rPr>
          <w:rFonts w:ascii="Aptos" w:hAnsi="Aptos" w:cs="Arial"/>
          <w:b/>
          <w:bCs/>
          <w:sz w:val="24"/>
          <w:szCs w:val="24"/>
        </w:rPr>
        <w:t>, or both?</w:t>
      </w:r>
    </w:p>
    <w:p w14:paraId="3EC2A23E" w14:textId="77777777" w:rsidR="0069798D" w:rsidRPr="00A21825" w:rsidRDefault="0069798D" w:rsidP="008260F4">
      <w:pPr>
        <w:pStyle w:val="NormalWeb"/>
        <w:spacing w:line="276" w:lineRule="auto"/>
      </w:pPr>
      <w:r w:rsidRPr="00A21825">
        <w:t>If there are no Notices and/or no Actuals to report for an experience month, a transmittal form must still be submitted. The transmittal form should reflect zero (0) recipient counts across all transaction types and a zero (0) record count.  A blank data file labeled as “NoTransactions.txt” must also be uploaded (a file upload is required for all submissions).</w:t>
      </w:r>
    </w:p>
    <w:p w14:paraId="6E6C953D" w14:textId="77777777" w:rsidR="00A21825" w:rsidRDefault="00A21825" w:rsidP="008260F4">
      <w:pPr>
        <w:pStyle w:val="NormalWeb"/>
        <w:spacing w:line="276" w:lineRule="auto"/>
      </w:pPr>
      <w:r w:rsidRPr="00A21825">
        <w:t>This allows us to record the month’s activity as zero.  Instructions are noted on the submission form.</w:t>
      </w:r>
    </w:p>
    <w:p w14:paraId="546122CA" w14:textId="6A6FAF96" w:rsidR="00A21825" w:rsidRDefault="00B8570D" w:rsidP="00A21825">
      <w:pPr>
        <w:pStyle w:val="NormalWeb"/>
        <w:rPr>
          <w:b/>
          <w:bCs/>
        </w:rPr>
      </w:pPr>
      <w:r>
        <w:rPr>
          <w:b/>
          <w:bCs/>
        </w:rPr>
        <w:lastRenderedPageBreak/>
        <w:t>9</w:t>
      </w:r>
      <w:r w:rsidR="00A21825" w:rsidRPr="00A21825">
        <w:rPr>
          <w:b/>
          <w:bCs/>
        </w:rPr>
        <w:t xml:space="preserve">.  Can I submit multiple </w:t>
      </w:r>
      <w:r w:rsidR="002D3B5A">
        <w:rPr>
          <w:b/>
          <w:bCs/>
        </w:rPr>
        <w:t xml:space="preserve">NAIC’S </w:t>
      </w:r>
      <w:r w:rsidR="00A21825" w:rsidRPr="00A21825">
        <w:rPr>
          <w:b/>
          <w:bCs/>
        </w:rPr>
        <w:t xml:space="preserve"> in one data file?</w:t>
      </w:r>
    </w:p>
    <w:p w14:paraId="28F4658A" w14:textId="5231B7E1" w:rsidR="00A21825" w:rsidRPr="008F2FFE" w:rsidRDefault="006C06EC" w:rsidP="00A21825">
      <w:pPr>
        <w:pStyle w:val="NormalWeb"/>
      </w:pPr>
      <w:r w:rsidRPr="008F2FFE">
        <w:t>Yes</w:t>
      </w:r>
      <w:r w:rsidR="008F2FFE" w:rsidRPr="008F2FFE">
        <w:t>, however</w:t>
      </w:r>
      <w:r w:rsidR="008F2FFE">
        <w:t>,</w:t>
      </w:r>
      <w:r w:rsidR="008F2FFE" w:rsidRPr="008F2FFE">
        <w:t xml:space="preserve"> make sure</w:t>
      </w:r>
      <w:r w:rsidRPr="008F2FFE">
        <w:t xml:space="preserve"> </w:t>
      </w:r>
      <w:r w:rsidR="008F2FFE" w:rsidRPr="008F2FFE">
        <w:t xml:space="preserve">a </w:t>
      </w:r>
      <w:r w:rsidRPr="008F2FFE">
        <w:t>transmittal for each</w:t>
      </w:r>
      <w:r w:rsidR="002D3B5A">
        <w:t xml:space="preserve"> NAIC</w:t>
      </w:r>
      <w:r w:rsidRPr="008F2FFE">
        <w:t xml:space="preserve"> </w:t>
      </w:r>
      <w:r w:rsidR="008F2FFE" w:rsidRPr="008F2FFE">
        <w:t>is</w:t>
      </w:r>
      <w:r w:rsidRPr="008F2FFE">
        <w:t xml:space="preserve"> </w:t>
      </w:r>
      <w:r w:rsidR="008F2FFE" w:rsidRPr="008F2FFE">
        <w:t>completed.</w:t>
      </w:r>
      <w:r w:rsidRPr="008F2FFE">
        <w:t xml:space="preserve"> </w:t>
      </w:r>
    </w:p>
    <w:p w14:paraId="1B5CABA2" w14:textId="77777777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br/>
      </w:r>
      <w:r w:rsidRPr="00EC1D67">
        <w:rPr>
          <w:rFonts w:ascii="Aptos" w:hAnsi="Aptos" w:cs="Arial"/>
          <w:b/>
          <w:sz w:val="24"/>
          <w:szCs w:val="24"/>
          <w:bdr w:val="single" w:sz="4" w:space="0" w:color="auto"/>
        </w:rPr>
        <w:t>Getting Started: Registration and Access</w:t>
      </w:r>
    </w:p>
    <w:p w14:paraId="4D311B46" w14:textId="48FEF893" w:rsidR="001C5F65" w:rsidRPr="00EC1D67" w:rsidRDefault="00B8570D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b/>
          <w:sz w:val="24"/>
          <w:szCs w:val="24"/>
        </w:rPr>
        <w:t>10</w:t>
      </w:r>
      <w:r w:rsidR="007B73D1" w:rsidRPr="00EC1D67">
        <w:rPr>
          <w:rFonts w:ascii="Aptos" w:hAnsi="Aptos" w:cs="Arial"/>
          <w:b/>
          <w:sz w:val="24"/>
          <w:szCs w:val="24"/>
        </w:rPr>
        <w:t>. Is registration required even if we already have TICO portal access?</w:t>
      </w:r>
    </w:p>
    <w:p w14:paraId="5051C808" w14:textId="1E4E9A26" w:rsidR="006B1B18" w:rsidRDefault="007B73D1" w:rsidP="006B1B18">
      <w:pPr>
        <w:spacing w:line="300" w:lineRule="atLeast"/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Yes. </w:t>
      </w:r>
      <w:r w:rsidR="00F2724E">
        <w:rPr>
          <w:rFonts w:ascii="Aptos" w:hAnsi="Aptos" w:cs="Arial"/>
          <w:sz w:val="24"/>
          <w:szCs w:val="24"/>
        </w:rPr>
        <w:t>TICO</w:t>
      </w:r>
      <w:r w:rsidRPr="00EC1D67">
        <w:rPr>
          <w:rFonts w:ascii="Aptos" w:hAnsi="Aptos" w:cs="Arial"/>
          <w:sz w:val="24"/>
          <w:szCs w:val="24"/>
        </w:rPr>
        <w:t xml:space="preserve"> requires a separate registration</w:t>
      </w:r>
      <w:r w:rsidR="00F2724E">
        <w:rPr>
          <w:rFonts w:ascii="Aptos" w:hAnsi="Aptos" w:cs="Arial"/>
          <w:sz w:val="24"/>
          <w:szCs w:val="24"/>
        </w:rPr>
        <w:t xml:space="preserve"> specifically for data submission pur</w:t>
      </w:r>
      <w:r w:rsidR="0037043E">
        <w:rPr>
          <w:rFonts w:ascii="Aptos" w:hAnsi="Aptos" w:cs="Arial"/>
          <w:sz w:val="24"/>
          <w:szCs w:val="24"/>
        </w:rPr>
        <w:t>suant to HB 2067</w:t>
      </w:r>
      <w:r w:rsidR="006B1B18">
        <w:rPr>
          <w:rFonts w:ascii="Aptos" w:hAnsi="Aptos" w:cs="Arial"/>
          <w:sz w:val="24"/>
          <w:szCs w:val="24"/>
        </w:rPr>
        <w:t>.  To register, use the URL below:</w:t>
      </w:r>
    </w:p>
    <w:p w14:paraId="6FF039D3" w14:textId="5E4320E5" w:rsidR="001C5F65" w:rsidRPr="00EC1D67" w:rsidRDefault="003D570B" w:rsidP="006B1B18">
      <w:pPr>
        <w:spacing w:line="300" w:lineRule="atLeast"/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 xml:space="preserve"> </w:t>
      </w:r>
      <w:r w:rsidR="006B1B18" w:rsidRPr="006B1B18">
        <w:rPr>
          <w:rFonts w:ascii="Aptos" w:hAnsi="Aptos" w:cs="Arial"/>
          <w:sz w:val="24"/>
          <w:szCs w:val="24"/>
        </w:rPr>
        <w:t>https://portal.ticostat.com/form/HB2067Registration</w:t>
      </w:r>
    </w:p>
    <w:p w14:paraId="6DE734FB" w14:textId="399E8F20" w:rsidR="001C5F65" w:rsidRPr="00EC1D67" w:rsidRDefault="00B94EB8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b/>
          <w:sz w:val="24"/>
          <w:szCs w:val="24"/>
        </w:rPr>
        <w:t>1</w:t>
      </w:r>
      <w:r w:rsidR="00B8570D">
        <w:rPr>
          <w:rFonts w:ascii="Aptos" w:hAnsi="Aptos" w:cs="Arial"/>
          <w:b/>
          <w:sz w:val="24"/>
          <w:szCs w:val="24"/>
        </w:rPr>
        <w:t>1</w:t>
      </w:r>
      <w:r w:rsidR="007B73D1" w:rsidRPr="00EC1D67">
        <w:rPr>
          <w:rFonts w:ascii="Aptos" w:hAnsi="Aptos" w:cs="Arial"/>
          <w:b/>
          <w:sz w:val="24"/>
          <w:szCs w:val="24"/>
        </w:rPr>
        <w:t>. Who within our company should register?</w:t>
      </w:r>
    </w:p>
    <w:p w14:paraId="59E87F96" w14:textId="083A6FB5" w:rsidR="001C5F65" w:rsidRPr="00EC1D67" w:rsidRDefault="00390F90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>This can vary company by company.  It is a company’s responsibility to determine and assign personnel</w:t>
      </w:r>
      <w:r w:rsidR="006B1EF3">
        <w:rPr>
          <w:rFonts w:ascii="Aptos" w:hAnsi="Aptos" w:cs="Arial"/>
          <w:sz w:val="24"/>
          <w:szCs w:val="24"/>
        </w:rPr>
        <w:t xml:space="preserve"> who have the ability </w:t>
      </w:r>
      <w:r w:rsidR="00B4437A">
        <w:rPr>
          <w:rFonts w:ascii="Aptos" w:hAnsi="Aptos" w:cs="Arial"/>
          <w:sz w:val="24"/>
          <w:szCs w:val="24"/>
        </w:rPr>
        <w:t xml:space="preserve">to </w:t>
      </w:r>
      <w:r w:rsidR="006B1EF3">
        <w:rPr>
          <w:rFonts w:ascii="Aptos" w:hAnsi="Aptos" w:cs="Arial"/>
          <w:sz w:val="24"/>
          <w:szCs w:val="24"/>
        </w:rPr>
        <w:t xml:space="preserve"> access </w:t>
      </w:r>
      <w:r w:rsidR="00B4437A">
        <w:rPr>
          <w:rFonts w:ascii="Aptos" w:hAnsi="Aptos" w:cs="Arial"/>
          <w:sz w:val="24"/>
          <w:szCs w:val="24"/>
        </w:rPr>
        <w:t>the</w:t>
      </w:r>
      <w:r w:rsidR="006B1EF3">
        <w:rPr>
          <w:rFonts w:ascii="Aptos" w:hAnsi="Aptos" w:cs="Arial"/>
          <w:sz w:val="24"/>
          <w:szCs w:val="24"/>
        </w:rPr>
        <w:t xml:space="preserve"> data required to be submitted by HB</w:t>
      </w:r>
      <w:r w:rsidR="003D570B">
        <w:rPr>
          <w:rFonts w:ascii="Aptos" w:hAnsi="Aptos" w:cs="Arial"/>
          <w:sz w:val="24"/>
          <w:szCs w:val="24"/>
        </w:rPr>
        <w:t xml:space="preserve"> </w:t>
      </w:r>
      <w:r w:rsidR="006B1EF3">
        <w:rPr>
          <w:rFonts w:ascii="Aptos" w:hAnsi="Aptos" w:cs="Arial"/>
          <w:sz w:val="24"/>
          <w:szCs w:val="24"/>
        </w:rPr>
        <w:t xml:space="preserve">2067. Such </w:t>
      </w:r>
      <w:r w:rsidR="00B97711">
        <w:rPr>
          <w:rFonts w:ascii="Aptos" w:hAnsi="Aptos" w:cs="Arial"/>
          <w:sz w:val="24"/>
          <w:szCs w:val="24"/>
        </w:rPr>
        <w:t>individuals</w:t>
      </w:r>
      <w:r w:rsidR="00546D0A">
        <w:rPr>
          <w:rFonts w:ascii="Aptos" w:hAnsi="Aptos" w:cs="Arial"/>
          <w:sz w:val="24"/>
          <w:szCs w:val="24"/>
        </w:rPr>
        <w:t xml:space="preserve"> responsible for submitting the data are required to register as mentioned above.  Additional users may register for the file editing tool.</w:t>
      </w:r>
    </w:p>
    <w:p w14:paraId="477387D1" w14:textId="202DC8D7" w:rsidR="001C5F65" w:rsidRPr="00EC1D67" w:rsidRDefault="00B94EB8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b/>
          <w:sz w:val="24"/>
          <w:szCs w:val="24"/>
        </w:rPr>
        <w:t>1</w:t>
      </w:r>
      <w:r w:rsidR="00B8570D">
        <w:rPr>
          <w:rFonts w:ascii="Aptos" w:hAnsi="Aptos" w:cs="Arial"/>
          <w:b/>
          <w:sz w:val="24"/>
          <w:szCs w:val="24"/>
        </w:rPr>
        <w:t>2</w:t>
      </w:r>
      <w:r w:rsidR="007B73D1" w:rsidRPr="00EC1D67">
        <w:rPr>
          <w:rFonts w:ascii="Aptos" w:hAnsi="Aptos" w:cs="Arial"/>
          <w:b/>
          <w:sz w:val="24"/>
          <w:szCs w:val="24"/>
        </w:rPr>
        <w:t xml:space="preserve">. What happens if we </w:t>
      </w:r>
      <w:r w:rsidR="00E5272B">
        <w:rPr>
          <w:rFonts w:ascii="Aptos" w:hAnsi="Aptos" w:cs="Arial"/>
          <w:b/>
          <w:sz w:val="24"/>
          <w:szCs w:val="24"/>
        </w:rPr>
        <w:t>need to remove a user</w:t>
      </w:r>
      <w:r w:rsidR="007B73D1" w:rsidRPr="00EC1D67">
        <w:rPr>
          <w:rFonts w:ascii="Aptos" w:hAnsi="Aptos" w:cs="Arial"/>
          <w:b/>
          <w:sz w:val="24"/>
          <w:szCs w:val="24"/>
        </w:rPr>
        <w:t>?</w:t>
      </w:r>
    </w:p>
    <w:p w14:paraId="50CE9044" w14:textId="2680E559" w:rsidR="0066180A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If a user </w:t>
      </w:r>
      <w:r w:rsidR="00E5272B">
        <w:rPr>
          <w:rFonts w:ascii="Aptos" w:hAnsi="Aptos" w:cs="Arial"/>
          <w:sz w:val="24"/>
          <w:szCs w:val="24"/>
        </w:rPr>
        <w:t>needs to be removed from editing or</w:t>
      </w:r>
      <w:r w:rsidRPr="00EC1D67">
        <w:rPr>
          <w:rFonts w:ascii="Aptos" w:hAnsi="Aptos" w:cs="Arial"/>
          <w:sz w:val="24"/>
          <w:szCs w:val="24"/>
        </w:rPr>
        <w:t xml:space="preserve"> submitting HB 2067 data, TICO can remove the registration upon request.</w:t>
      </w:r>
      <w:r w:rsidR="005A6628">
        <w:rPr>
          <w:rFonts w:ascii="Aptos" w:hAnsi="Aptos" w:cs="Arial"/>
          <w:sz w:val="24"/>
          <w:szCs w:val="24"/>
        </w:rPr>
        <w:t xml:space="preserve">  Please submit such a request to </w:t>
      </w:r>
      <w:r w:rsidR="006B1B18">
        <w:rPr>
          <w:rFonts w:ascii="Aptos" w:hAnsi="Aptos" w:cs="Arial"/>
          <w:sz w:val="24"/>
          <w:szCs w:val="24"/>
        </w:rPr>
        <w:t>the following email: residential-support@ticostat.com.</w:t>
      </w:r>
    </w:p>
    <w:p w14:paraId="2484FF8F" w14:textId="6E8500E9" w:rsidR="001C5F65" w:rsidRPr="00EC1D67" w:rsidRDefault="005A6628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 xml:space="preserve">              </w:t>
      </w:r>
      <w:r w:rsidR="007B73D1" w:rsidRPr="00EC1D67">
        <w:rPr>
          <w:rFonts w:ascii="Aptos" w:hAnsi="Aptos" w:cs="Arial"/>
          <w:b/>
          <w:sz w:val="24"/>
          <w:szCs w:val="24"/>
        </w:rPr>
        <w:br/>
      </w:r>
      <w:r w:rsidR="004F5682">
        <w:rPr>
          <w:rFonts w:ascii="Aptos" w:hAnsi="Aptos" w:cs="Arial"/>
          <w:b/>
          <w:sz w:val="24"/>
          <w:szCs w:val="24"/>
          <w:bdr w:val="single" w:sz="4" w:space="0" w:color="auto"/>
        </w:rPr>
        <w:t xml:space="preserve">Editing and </w:t>
      </w:r>
      <w:r w:rsidR="007B73D1" w:rsidRPr="00EC1D67">
        <w:rPr>
          <w:rFonts w:ascii="Aptos" w:hAnsi="Aptos" w:cs="Arial"/>
          <w:b/>
          <w:sz w:val="24"/>
          <w:szCs w:val="24"/>
          <w:bdr w:val="single" w:sz="4" w:space="0" w:color="auto"/>
        </w:rPr>
        <w:t>Submitting Files: Technical and Formatting Questions</w:t>
      </w:r>
    </w:p>
    <w:p w14:paraId="1D4CE4DF" w14:textId="1F970A50" w:rsidR="001C5F65" w:rsidRPr="00EC1D67" w:rsidRDefault="00926E6E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b/>
          <w:sz w:val="24"/>
          <w:szCs w:val="24"/>
        </w:rPr>
        <w:t>1</w:t>
      </w:r>
      <w:r w:rsidR="00B8570D">
        <w:rPr>
          <w:rFonts w:ascii="Aptos" w:hAnsi="Aptos" w:cs="Arial"/>
          <w:b/>
          <w:sz w:val="24"/>
          <w:szCs w:val="24"/>
        </w:rPr>
        <w:t>3</w:t>
      </w:r>
      <w:r w:rsidR="007B73D1" w:rsidRPr="00EC1D67">
        <w:rPr>
          <w:rFonts w:ascii="Aptos" w:hAnsi="Aptos" w:cs="Arial"/>
          <w:b/>
          <w:sz w:val="24"/>
          <w:szCs w:val="24"/>
        </w:rPr>
        <w:t>. How are HB 2067 files submitted?</w:t>
      </w:r>
    </w:p>
    <w:p w14:paraId="29F50346" w14:textId="44DC1A51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HB 2067 files </w:t>
      </w:r>
      <w:r w:rsidR="006B5877">
        <w:rPr>
          <w:rFonts w:ascii="Aptos" w:hAnsi="Aptos" w:cs="Arial"/>
          <w:sz w:val="24"/>
          <w:szCs w:val="24"/>
        </w:rPr>
        <w:t xml:space="preserve">must be </w:t>
      </w:r>
      <w:r w:rsidRPr="00EC1D67">
        <w:rPr>
          <w:rFonts w:ascii="Aptos" w:hAnsi="Aptos" w:cs="Arial"/>
          <w:sz w:val="24"/>
          <w:szCs w:val="24"/>
        </w:rPr>
        <w:t>submitted online through TICO</w:t>
      </w:r>
      <w:r w:rsidR="006B5877">
        <w:rPr>
          <w:rFonts w:ascii="Aptos" w:hAnsi="Aptos" w:cs="Arial"/>
          <w:sz w:val="24"/>
          <w:szCs w:val="24"/>
        </w:rPr>
        <w:t>’s HB</w:t>
      </w:r>
      <w:r w:rsidR="003D570B">
        <w:rPr>
          <w:rFonts w:ascii="Aptos" w:hAnsi="Aptos" w:cs="Arial"/>
          <w:sz w:val="24"/>
          <w:szCs w:val="24"/>
        </w:rPr>
        <w:t xml:space="preserve"> </w:t>
      </w:r>
      <w:r w:rsidR="006B5877">
        <w:rPr>
          <w:rFonts w:ascii="Aptos" w:hAnsi="Aptos" w:cs="Arial"/>
          <w:sz w:val="24"/>
          <w:szCs w:val="24"/>
        </w:rPr>
        <w:t>2067</w:t>
      </w:r>
      <w:r w:rsidRPr="00EC1D67">
        <w:rPr>
          <w:rFonts w:ascii="Aptos" w:hAnsi="Aptos" w:cs="Arial"/>
          <w:sz w:val="24"/>
          <w:szCs w:val="24"/>
        </w:rPr>
        <w:t xml:space="preserve"> p</w:t>
      </w:r>
      <w:r w:rsidR="006B5877">
        <w:rPr>
          <w:rFonts w:ascii="Aptos" w:hAnsi="Aptos" w:cs="Arial"/>
          <w:sz w:val="24"/>
          <w:szCs w:val="24"/>
        </w:rPr>
        <w:t>ortal</w:t>
      </w:r>
      <w:r w:rsidRPr="00EC1D67">
        <w:rPr>
          <w:rFonts w:ascii="Aptos" w:hAnsi="Aptos" w:cs="Arial"/>
          <w:sz w:val="24"/>
          <w:szCs w:val="24"/>
        </w:rPr>
        <w:t>.</w:t>
      </w:r>
    </w:p>
    <w:p w14:paraId="24C37716" w14:textId="19735D93" w:rsidR="00B578D6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An online edit tool is</w:t>
      </w:r>
      <w:r w:rsidR="002C303C">
        <w:rPr>
          <w:rFonts w:ascii="Aptos" w:hAnsi="Aptos" w:cs="Arial"/>
          <w:sz w:val="24"/>
          <w:szCs w:val="24"/>
        </w:rPr>
        <w:t xml:space="preserve"> currently</w:t>
      </w:r>
      <w:r w:rsidRPr="00EC1D67">
        <w:rPr>
          <w:rFonts w:ascii="Aptos" w:hAnsi="Aptos" w:cs="Arial"/>
          <w:sz w:val="24"/>
          <w:szCs w:val="24"/>
        </w:rPr>
        <w:t xml:space="preserve"> available, and the submission tool becomes available May 1.</w:t>
      </w:r>
      <w:r w:rsidR="00B578D6">
        <w:rPr>
          <w:rFonts w:ascii="Aptos" w:hAnsi="Aptos" w:cs="Arial"/>
          <w:sz w:val="24"/>
          <w:szCs w:val="24"/>
        </w:rPr>
        <w:t xml:space="preserve"> </w:t>
      </w:r>
    </w:p>
    <w:p w14:paraId="690AA086" w14:textId="0EE4CA49" w:rsidR="006B1B18" w:rsidRPr="006B1B18" w:rsidRDefault="006B1B18" w:rsidP="006B1B18">
      <w:pPr>
        <w:spacing w:line="300" w:lineRule="atLeast"/>
        <w:rPr>
          <w:rFonts w:ascii="Segoe UI" w:eastAsia="Times New Roman" w:hAnsi="Segoe UI" w:cs="Segoe UI"/>
          <w:sz w:val="21"/>
          <w:szCs w:val="21"/>
        </w:rPr>
      </w:pPr>
      <w:r>
        <w:rPr>
          <w:rFonts w:ascii="Aptos" w:hAnsi="Aptos" w:cs="Arial"/>
          <w:sz w:val="24"/>
          <w:szCs w:val="24"/>
        </w:rPr>
        <w:t xml:space="preserve">Use this URL to register: </w:t>
      </w:r>
      <w:r w:rsidRPr="006B1B18">
        <w:rPr>
          <w:rFonts w:ascii="Segoe UI" w:eastAsia="Times New Roman" w:hAnsi="Segoe UI" w:cs="Segoe UI"/>
          <w:sz w:val="21"/>
          <w:szCs w:val="21"/>
        </w:rPr>
        <w:t>https://portal.ticostat.com/form/HB2067Registration</w:t>
      </w:r>
    </w:p>
    <w:p w14:paraId="378B5A1D" w14:textId="7FA39B69" w:rsidR="001C5F65" w:rsidRPr="0010414D" w:rsidRDefault="00B578D6">
      <w:pPr>
        <w:rPr>
          <w:rStyle w:val="Hyperlink"/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 xml:space="preserve">Upon successful registration, companies will receive additional submission instructions.  Special Reporting Instructions information is also available on our </w:t>
      </w:r>
      <w:r w:rsidRPr="00B578D6">
        <w:rPr>
          <w:rFonts w:ascii="Aptos" w:hAnsi="Aptos" w:cs="Arial"/>
          <w:sz w:val="24"/>
          <w:szCs w:val="24"/>
        </w:rPr>
        <w:t xml:space="preserve">website, </w:t>
      </w:r>
      <w:r w:rsidR="0010414D">
        <w:rPr>
          <w:rFonts w:ascii="Aptos" w:hAnsi="Aptos" w:cs="Arial"/>
          <w:sz w:val="24"/>
          <w:szCs w:val="24"/>
        </w:rPr>
        <w:fldChar w:fldCharType="begin"/>
      </w:r>
      <w:r w:rsidR="0010414D">
        <w:rPr>
          <w:rFonts w:ascii="Aptos" w:hAnsi="Aptos" w:cs="Arial"/>
          <w:sz w:val="24"/>
          <w:szCs w:val="24"/>
        </w:rPr>
        <w:instrText>HYPERLINK "http://www.ticostat.com/residential/documents/HB2067%20Special%20Reporting%20Instructions"</w:instrText>
      </w:r>
      <w:r w:rsidR="0010414D">
        <w:rPr>
          <w:rFonts w:ascii="Aptos" w:hAnsi="Aptos" w:cs="Arial"/>
          <w:sz w:val="24"/>
          <w:szCs w:val="24"/>
        </w:rPr>
      </w:r>
      <w:r w:rsidR="0010414D">
        <w:rPr>
          <w:rFonts w:ascii="Aptos" w:hAnsi="Aptos" w:cs="Arial"/>
          <w:sz w:val="24"/>
          <w:szCs w:val="24"/>
        </w:rPr>
        <w:fldChar w:fldCharType="separate"/>
      </w:r>
      <w:r w:rsidRPr="0010414D">
        <w:rPr>
          <w:rStyle w:val="Hyperlink"/>
          <w:rFonts w:ascii="Aptos" w:hAnsi="Aptos" w:cs="Arial"/>
          <w:sz w:val="24"/>
          <w:szCs w:val="24"/>
        </w:rPr>
        <w:t>www.ticostat.com/residential/documents/HB2067 Special Reporting Instructions</w:t>
      </w:r>
    </w:p>
    <w:p w14:paraId="4E24CD26" w14:textId="419B7565" w:rsidR="003D570B" w:rsidRDefault="0010414D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sz w:val="24"/>
          <w:szCs w:val="24"/>
        </w:rPr>
        <w:lastRenderedPageBreak/>
        <w:fldChar w:fldCharType="end"/>
      </w:r>
      <w:r w:rsidR="004F5682" w:rsidRPr="004F5682">
        <w:rPr>
          <w:rFonts w:ascii="Aptos" w:hAnsi="Aptos" w:cs="Arial"/>
          <w:b/>
          <w:bCs/>
          <w:sz w:val="24"/>
          <w:szCs w:val="24"/>
        </w:rPr>
        <w:t>14. Can I edit files without submitting them?</w:t>
      </w:r>
    </w:p>
    <w:p w14:paraId="2C26FE7B" w14:textId="7FBA5D23" w:rsidR="004F5682" w:rsidRPr="004F5682" w:rsidRDefault="004F5682">
      <w:pPr>
        <w:rPr>
          <w:rFonts w:ascii="Aptos" w:hAnsi="Aptos" w:cs="Arial"/>
          <w:sz w:val="24"/>
          <w:szCs w:val="24"/>
        </w:rPr>
      </w:pPr>
      <w:r w:rsidRPr="004F5682">
        <w:rPr>
          <w:rFonts w:ascii="Aptos" w:hAnsi="Aptos" w:cs="Arial"/>
          <w:sz w:val="24"/>
          <w:szCs w:val="24"/>
        </w:rPr>
        <w:t xml:space="preserve">Yes.  </w:t>
      </w:r>
      <w:r w:rsidR="00093913">
        <w:rPr>
          <w:rFonts w:ascii="Aptos" w:hAnsi="Aptos" w:cs="Arial"/>
          <w:sz w:val="24"/>
          <w:szCs w:val="24"/>
        </w:rPr>
        <w:t>Under the HB2067 Edit form, c</w:t>
      </w:r>
      <w:r w:rsidRPr="004F5682">
        <w:rPr>
          <w:rFonts w:ascii="Aptos" w:hAnsi="Aptos" w:cs="Arial"/>
          <w:sz w:val="24"/>
          <w:szCs w:val="24"/>
        </w:rPr>
        <w:t>hoose the “Edit only” option</w:t>
      </w:r>
      <w:r w:rsidR="00093913">
        <w:rPr>
          <w:rFonts w:ascii="Aptos" w:hAnsi="Aptos" w:cs="Arial"/>
          <w:sz w:val="24"/>
          <w:szCs w:val="24"/>
        </w:rPr>
        <w:t>.</w:t>
      </w:r>
    </w:p>
    <w:p w14:paraId="780CE186" w14:textId="5CC4F380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>1</w:t>
      </w:r>
      <w:r w:rsidR="001A2ADD">
        <w:rPr>
          <w:rFonts w:ascii="Aptos" w:hAnsi="Aptos" w:cs="Arial"/>
          <w:b/>
          <w:sz w:val="24"/>
          <w:szCs w:val="24"/>
        </w:rPr>
        <w:t>5</w:t>
      </w:r>
      <w:r w:rsidRPr="00EC1D67">
        <w:rPr>
          <w:rFonts w:ascii="Aptos" w:hAnsi="Aptos" w:cs="Arial"/>
          <w:b/>
          <w:sz w:val="24"/>
          <w:szCs w:val="24"/>
        </w:rPr>
        <w:t>. Is testing required before submitting HB 2067 files?</w:t>
      </w:r>
    </w:p>
    <w:p w14:paraId="2134CD77" w14:textId="77777777" w:rsidR="001C5F65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No formal test submissions are required. Companies may use the edit tool to review and correct files prior to submission.</w:t>
      </w:r>
    </w:p>
    <w:p w14:paraId="352F7558" w14:textId="46B397B4" w:rsidR="00B578D6" w:rsidRDefault="00926E6E">
      <w:pPr>
        <w:rPr>
          <w:rFonts w:ascii="Aptos" w:hAnsi="Aptos" w:cs="Arial"/>
          <w:b/>
          <w:bCs/>
          <w:sz w:val="24"/>
          <w:szCs w:val="24"/>
        </w:rPr>
      </w:pPr>
      <w:r w:rsidRPr="00926E6E">
        <w:rPr>
          <w:rFonts w:ascii="Aptos" w:hAnsi="Aptos" w:cs="Arial"/>
          <w:b/>
          <w:bCs/>
          <w:sz w:val="24"/>
          <w:szCs w:val="24"/>
        </w:rPr>
        <w:t>1</w:t>
      </w:r>
      <w:r w:rsidR="001A2ADD">
        <w:rPr>
          <w:rFonts w:ascii="Aptos" w:hAnsi="Aptos" w:cs="Arial"/>
          <w:b/>
          <w:bCs/>
          <w:sz w:val="24"/>
          <w:szCs w:val="24"/>
        </w:rPr>
        <w:t>6</w:t>
      </w:r>
      <w:r w:rsidR="00B578D6">
        <w:rPr>
          <w:rFonts w:ascii="Aptos" w:hAnsi="Aptos" w:cs="Arial"/>
          <w:sz w:val="24"/>
          <w:szCs w:val="24"/>
        </w:rPr>
        <w:t xml:space="preserve">.  </w:t>
      </w:r>
      <w:r w:rsidR="00B578D6" w:rsidRPr="00B578D6">
        <w:rPr>
          <w:rFonts w:ascii="Aptos" w:hAnsi="Aptos" w:cs="Arial"/>
          <w:b/>
          <w:bCs/>
          <w:sz w:val="24"/>
          <w:szCs w:val="24"/>
        </w:rPr>
        <w:t>Is there an edit document?</w:t>
      </w:r>
    </w:p>
    <w:p w14:paraId="2992370D" w14:textId="1120A81C" w:rsidR="00B578D6" w:rsidRPr="0010414D" w:rsidRDefault="00B578D6">
      <w:pPr>
        <w:rPr>
          <w:rStyle w:val="Hyperlink"/>
          <w:rFonts w:ascii="Aptos" w:hAnsi="Aptos" w:cs="Arial"/>
          <w:sz w:val="24"/>
          <w:szCs w:val="24"/>
        </w:rPr>
      </w:pPr>
      <w:r w:rsidRPr="00B578D6">
        <w:rPr>
          <w:rFonts w:ascii="Aptos" w:hAnsi="Aptos" w:cs="Arial"/>
          <w:sz w:val="24"/>
          <w:szCs w:val="24"/>
        </w:rPr>
        <w:t xml:space="preserve">Yes, </w:t>
      </w:r>
      <w:r w:rsidR="0010414D">
        <w:rPr>
          <w:rFonts w:ascii="Aptos" w:hAnsi="Aptos" w:cs="Arial"/>
          <w:sz w:val="24"/>
          <w:szCs w:val="24"/>
        </w:rPr>
        <w:fldChar w:fldCharType="begin"/>
      </w:r>
      <w:r w:rsidR="0010414D">
        <w:rPr>
          <w:rFonts w:ascii="Aptos" w:hAnsi="Aptos" w:cs="Arial"/>
          <w:sz w:val="24"/>
          <w:szCs w:val="24"/>
        </w:rPr>
        <w:instrText>HYPERLINK "http://www.ticostat.com/residential/documents/Stat%20Edit%20-HB2067%20Notices&amp;Actuals"</w:instrText>
      </w:r>
      <w:r w:rsidR="0010414D">
        <w:rPr>
          <w:rFonts w:ascii="Aptos" w:hAnsi="Aptos" w:cs="Arial"/>
          <w:sz w:val="24"/>
          <w:szCs w:val="24"/>
        </w:rPr>
      </w:r>
      <w:r w:rsidR="0010414D">
        <w:rPr>
          <w:rFonts w:ascii="Aptos" w:hAnsi="Aptos" w:cs="Arial"/>
          <w:sz w:val="24"/>
          <w:szCs w:val="24"/>
        </w:rPr>
        <w:fldChar w:fldCharType="separate"/>
      </w:r>
      <w:r w:rsidRPr="0010414D">
        <w:rPr>
          <w:rStyle w:val="Hyperlink"/>
          <w:rFonts w:ascii="Aptos" w:hAnsi="Aptos" w:cs="Arial"/>
          <w:sz w:val="24"/>
          <w:szCs w:val="24"/>
        </w:rPr>
        <w:t>www.ticostat.com/residential/documents/Stat Edit -HB2067 Notices &amp; Actuals</w:t>
      </w:r>
    </w:p>
    <w:p w14:paraId="01BB0468" w14:textId="2261F5DE" w:rsidR="001C5F65" w:rsidRPr="00EC1D67" w:rsidRDefault="0010414D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fldChar w:fldCharType="end"/>
      </w:r>
      <w:r w:rsidR="007B73D1" w:rsidRPr="00EC1D67">
        <w:rPr>
          <w:rFonts w:ascii="Aptos" w:hAnsi="Aptos" w:cs="Arial"/>
          <w:b/>
          <w:sz w:val="24"/>
          <w:szCs w:val="24"/>
        </w:rPr>
        <w:t>1</w:t>
      </w:r>
      <w:r w:rsidR="001A2ADD">
        <w:rPr>
          <w:rFonts w:ascii="Aptos" w:hAnsi="Aptos" w:cs="Arial"/>
          <w:b/>
          <w:sz w:val="24"/>
          <w:szCs w:val="24"/>
        </w:rPr>
        <w:t>7</w:t>
      </w:r>
      <w:r w:rsidR="007B73D1" w:rsidRPr="00EC1D67">
        <w:rPr>
          <w:rFonts w:ascii="Aptos" w:hAnsi="Aptos" w:cs="Arial"/>
          <w:b/>
          <w:sz w:val="24"/>
          <w:szCs w:val="24"/>
        </w:rPr>
        <w:t>. What if our systems do not currently capture all required data elements?</w:t>
      </w:r>
    </w:p>
    <w:p w14:paraId="7EA4C9C4" w14:textId="4AEA6BAB" w:rsidR="001C5F65" w:rsidRPr="00EC1D67" w:rsidRDefault="006B5877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sz w:val="24"/>
          <w:szCs w:val="24"/>
        </w:rPr>
        <w:t>Pursuant to HB</w:t>
      </w:r>
      <w:r w:rsidR="003D570B">
        <w:rPr>
          <w:rFonts w:ascii="Aptos" w:hAnsi="Aptos" w:cs="Arial"/>
          <w:sz w:val="24"/>
          <w:szCs w:val="24"/>
        </w:rPr>
        <w:t xml:space="preserve"> </w:t>
      </w:r>
      <w:r>
        <w:rPr>
          <w:rFonts w:ascii="Aptos" w:hAnsi="Aptos" w:cs="Arial"/>
          <w:sz w:val="24"/>
          <w:szCs w:val="24"/>
        </w:rPr>
        <w:t>2067 statutory requirements, i</w:t>
      </w:r>
      <w:r w:rsidR="007B73D1" w:rsidRPr="00EC1D67">
        <w:rPr>
          <w:rFonts w:ascii="Aptos" w:hAnsi="Aptos" w:cs="Arial"/>
          <w:sz w:val="24"/>
          <w:szCs w:val="24"/>
        </w:rPr>
        <w:t xml:space="preserve">nsurers are responsible for ensuring all required data elements are captured and reported </w:t>
      </w:r>
      <w:r>
        <w:rPr>
          <w:rFonts w:ascii="Aptos" w:hAnsi="Aptos" w:cs="Arial"/>
          <w:sz w:val="24"/>
          <w:szCs w:val="24"/>
        </w:rPr>
        <w:t xml:space="preserve">to TICO within the due dates (45 days after the end of the reporting month) </w:t>
      </w:r>
      <w:r w:rsidR="007B73D1" w:rsidRPr="00EC1D67">
        <w:rPr>
          <w:rFonts w:ascii="Aptos" w:hAnsi="Aptos" w:cs="Arial"/>
          <w:sz w:val="24"/>
          <w:szCs w:val="24"/>
        </w:rPr>
        <w:t>according to the adopted record layouts</w:t>
      </w:r>
      <w:r>
        <w:rPr>
          <w:rFonts w:ascii="Aptos" w:hAnsi="Aptos" w:cs="Arial"/>
          <w:sz w:val="24"/>
          <w:szCs w:val="24"/>
        </w:rPr>
        <w:t xml:space="preserve"> in the statistical plans</w:t>
      </w:r>
      <w:r w:rsidR="007B73D1" w:rsidRPr="00EC1D67">
        <w:rPr>
          <w:rFonts w:ascii="Aptos" w:hAnsi="Aptos" w:cs="Arial"/>
          <w:sz w:val="24"/>
          <w:szCs w:val="24"/>
        </w:rPr>
        <w:t>.</w:t>
      </w:r>
    </w:p>
    <w:p w14:paraId="12DD690E" w14:textId="6E8956CE" w:rsidR="001C5F65" w:rsidRPr="00EC1D67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b/>
          <w:sz w:val="24"/>
          <w:szCs w:val="24"/>
        </w:rPr>
        <w:t>1</w:t>
      </w:r>
      <w:r w:rsidR="001A2ADD">
        <w:rPr>
          <w:rFonts w:ascii="Aptos" w:hAnsi="Aptos" w:cs="Arial"/>
          <w:b/>
          <w:sz w:val="24"/>
          <w:szCs w:val="24"/>
        </w:rPr>
        <w:t>8</w:t>
      </w:r>
      <w:r w:rsidRPr="00EC1D67">
        <w:rPr>
          <w:rFonts w:ascii="Aptos" w:hAnsi="Aptos" w:cs="Arial"/>
          <w:b/>
          <w:sz w:val="24"/>
          <w:szCs w:val="24"/>
        </w:rPr>
        <w:t>. Will we receive confirmation or feedback after submitting files?</w:t>
      </w:r>
    </w:p>
    <w:p w14:paraId="53140A70" w14:textId="77777777" w:rsidR="001C5F65" w:rsidRDefault="007B73D1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Confirmation and/or edit results are generated after submission. If confirmations are missing, companies should follow up with TICO.</w:t>
      </w:r>
    </w:p>
    <w:p w14:paraId="065F2EF7" w14:textId="52F83692" w:rsidR="003D570B" w:rsidRDefault="003D570B">
      <w:pPr>
        <w:rPr>
          <w:rFonts w:ascii="Aptos" w:hAnsi="Aptos" w:cs="Arial"/>
          <w:b/>
          <w:bCs/>
          <w:sz w:val="24"/>
          <w:szCs w:val="24"/>
        </w:rPr>
      </w:pPr>
      <w:r w:rsidRPr="003D570B">
        <w:rPr>
          <w:rFonts w:ascii="Aptos" w:hAnsi="Aptos" w:cs="Arial"/>
          <w:b/>
          <w:bCs/>
          <w:sz w:val="24"/>
          <w:szCs w:val="24"/>
        </w:rPr>
        <w:t>1</w:t>
      </w:r>
      <w:r w:rsidR="001A2ADD">
        <w:rPr>
          <w:rFonts w:ascii="Aptos" w:hAnsi="Aptos" w:cs="Arial"/>
          <w:b/>
          <w:bCs/>
          <w:sz w:val="24"/>
          <w:szCs w:val="24"/>
        </w:rPr>
        <w:t>9</w:t>
      </w:r>
      <w:r w:rsidRPr="003D570B">
        <w:rPr>
          <w:rFonts w:ascii="Aptos" w:hAnsi="Aptos" w:cs="Arial"/>
          <w:b/>
          <w:bCs/>
          <w:sz w:val="24"/>
          <w:szCs w:val="24"/>
        </w:rPr>
        <w:t>. can we submit stat plan 5 records and stat plan 6 records in the same file?</w:t>
      </w:r>
    </w:p>
    <w:p w14:paraId="6AD01D0F" w14:textId="77777777" w:rsidR="001A2ADD" w:rsidRDefault="003D570B" w:rsidP="001A2ADD">
      <w:pPr>
        <w:rPr>
          <w:rFonts w:ascii="Aptos" w:hAnsi="Aptos" w:cs="Arial"/>
          <w:sz w:val="24"/>
          <w:szCs w:val="24"/>
        </w:rPr>
      </w:pPr>
      <w:r w:rsidRPr="003D570B">
        <w:rPr>
          <w:rFonts w:ascii="Aptos" w:hAnsi="Aptos" w:cs="Arial"/>
          <w:sz w:val="24"/>
          <w:szCs w:val="24"/>
        </w:rPr>
        <w:t>No.  Records for Stat Plan 5 (notices) and Stat Plan 6 (actuals) must be formatted in separate files.</w:t>
      </w:r>
    </w:p>
    <w:p w14:paraId="5C6E1062" w14:textId="02AABAE2" w:rsidR="00740524" w:rsidRPr="001A2ADD" w:rsidRDefault="007B73D1" w:rsidP="001A2ADD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br/>
      </w:r>
      <w:r w:rsidR="00F52FF3" w:rsidRPr="00EC1D67">
        <w:rPr>
          <w:rFonts w:ascii="Aptos" w:hAnsi="Aptos" w:cs="Arial"/>
          <w:b/>
          <w:bCs/>
          <w:sz w:val="24"/>
          <w:szCs w:val="24"/>
          <w:bdr w:val="single" w:sz="4" w:space="0" w:color="auto"/>
        </w:rPr>
        <w:t>General Reporting</w:t>
      </w:r>
      <w:r w:rsidR="00740524" w:rsidRPr="00EC1D67">
        <w:rPr>
          <w:rFonts w:ascii="Aptos" w:hAnsi="Aptos" w:cs="Arial"/>
          <w:b/>
          <w:bCs/>
          <w:sz w:val="24"/>
          <w:szCs w:val="24"/>
          <w:bdr w:val="single" w:sz="4" w:space="0" w:color="auto"/>
        </w:rPr>
        <w:t xml:space="preserve"> Questions</w:t>
      </w:r>
    </w:p>
    <w:p w14:paraId="25789A20" w14:textId="13BFBB8A" w:rsidR="008B196A" w:rsidRPr="00EC1D67" w:rsidRDefault="008B196A" w:rsidP="008B196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The below questions and responses are intended as general reporting guidance. Companies remain responsible for compliance with the Texas Statistical Plan, HB 2067, and Texas Department of Insurance requirements.</w:t>
      </w:r>
    </w:p>
    <w:p w14:paraId="79D7BAB2" w14:textId="4E660D07" w:rsidR="00902EAA" w:rsidRPr="00EC1D67" w:rsidRDefault="001A2ADD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20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. Are cancellation notices for policies written before April 1, 2026 reportable?</w:t>
      </w:r>
    </w:p>
    <w:p w14:paraId="52776259" w14:textId="77777777" w:rsidR="001A2ADD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No. For the Notices report (Stat Plan 5), cancellation notices are reportable only when related to policies delivered, issued for delivery, or renewed on or after April 1, 2026.</w:t>
      </w:r>
    </w:p>
    <w:p w14:paraId="10E6BB91" w14:textId="4297BE96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lastRenderedPageBreak/>
        <w:t>Cancellation notices issued on or after April 1 for policies effective before April 1 are not required to be reported.</w:t>
      </w:r>
    </w:p>
    <w:p w14:paraId="3892EB23" w14:textId="18082426" w:rsidR="00902EAA" w:rsidRPr="00EC1D67" w:rsidRDefault="0066180A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2</w:t>
      </w:r>
      <w:r w:rsidR="001A2ADD">
        <w:rPr>
          <w:rFonts w:ascii="Aptos" w:hAnsi="Aptos" w:cs="Arial"/>
          <w:b/>
          <w:bCs/>
          <w:sz w:val="24"/>
          <w:szCs w:val="24"/>
        </w:rPr>
        <w:t>1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. Are actual cancellations effective on or after April 1, 2026 reportable if the policy was written before April 1?</w:t>
      </w:r>
    </w:p>
    <w:p w14:paraId="77537800" w14:textId="491706D4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Yes. For the </w:t>
      </w:r>
      <w:r w:rsidRPr="00EC1D67">
        <w:rPr>
          <w:rFonts w:ascii="Aptos" w:hAnsi="Aptos" w:cs="Arial"/>
          <w:b/>
          <w:bCs/>
          <w:sz w:val="24"/>
          <w:szCs w:val="24"/>
        </w:rPr>
        <w:t>Actuals report (Stat Plan 6)</w:t>
      </w:r>
      <w:r w:rsidRPr="00EC1D67">
        <w:rPr>
          <w:rFonts w:ascii="Aptos" w:hAnsi="Aptos" w:cs="Arial"/>
          <w:sz w:val="24"/>
          <w:szCs w:val="24"/>
        </w:rPr>
        <w:t>, report cancellations with an action effective date on or after April 1, 2026</w:t>
      </w:r>
      <w:r w:rsidR="00367534">
        <w:rPr>
          <w:rFonts w:ascii="Aptos" w:hAnsi="Aptos" w:cs="Arial"/>
          <w:sz w:val="24"/>
          <w:szCs w:val="24"/>
        </w:rPr>
        <w:t>.</w:t>
      </w:r>
    </w:p>
    <w:p w14:paraId="3439BCB6" w14:textId="680D38B7" w:rsidR="00902EAA" w:rsidRPr="00EC1D67" w:rsidRDefault="00B94EB8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2</w:t>
      </w:r>
      <w:r w:rsidR="001A2ADD">
        <w:rPr>
          <w:rFonts w:ascii="Aptos" w:hAnsi="Aptos" w:cs="Arial"/>
          <w:b/>
          <w:bCs/>
          <w:sz w:val="24"/>
          <w:szCs w:val="24"/>
        </w:rPr>
        <w:t>2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 xml:space="preserve">. If a cancellation notice is issued, </w:t>
      </w:r>
      <w:r w:rsidR="005F0919" w:rsidRPr="00EC1D67">
        <w:rPr>
          <w:rFonts w:ascii="Aptos" w:hAnsi="Aptos" w:cs="Arial"/>
          <w:b/>
          <w:bCs/>
          <w:sz w:val="24"/>
          <w:szCs w:val="24"/>
        </w:rPr>
        <w:t xml:space="preserve">and 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then the policy is reinstated, should the notice still be reported?</w:t>
      </w:r>
    </w:p>
    <w:p w14:paraId="26096298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Yes. Each cancellation notice issued during the reporting period should be reported in the Notices report, even if the policy is later reinstated.</w:t>
      </w:r>
    </w:p>
    <w:p w14:paraId="24577CE8" w14:textId="32F3BDA4" w:rsidR="00902EAA" w:rsidRPr="00EC1D67" w:rsidRDefault="00B94EB8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2</w:t>
      </w:r>
      <w:r w:rsidR="001A2ADD">
        <w:rPr>
          <w:rFonts w:ascii="Aptos" w:hAnsi="Aptos" w:cs="Arial"/>
          <w:b/>
          <w:bCs/>
          <w:sz w:val="24"/>
          <w:szCs w:val="24"/>
        </w:rPr>
        <w:t>3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. If a policy cancels, is reinstated, and later cancels again, how should that be reported?</w:t>
      </w:r>
    </w:p>
    <w:p w14:paraId="4B5F960A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For the Actuals report (Stat Plan 6), each separate cancellation event should be reported in the applicable reporting period based on the action effective date.</w:t>
      </w:r>
    </w:p>
    <w:p w14:paraId="2D0BDB98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If a policy cancels, is later reinstated, and subsequently cancels again, the latter cancellation is considered a separate reportable cancellation and should also be reported in the month in which that cancellation becomes effective.</w:t>
      </w:r>
    </w:p>
    <w:p w14:paraId="439CCFDD" w14:textId="78622B5D" w:rsidR="00902EAA" w:rsidRPr="00EC1D67" w:rsidRDefault="00926E6E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2</w:t>
      </w:r>
      <w:r w:rsidR="001A2ADD">
        <w:rPr>
          <w:rFonts w:ascii="Aptos" w:hAnsi="Aptos" w:cs="Arial"/>
          <w:b/>
          <w:bCs/>
          <w:sz w:val="24"/>
          <w:szCs w:val="24"/>
        </w:rPr>
        <w:t>4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. Are flat cancellations reportable?</w:t>
      </w:r>
    </w:p>
    <w:p w14:paraId="71DF341D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Yes. Flat cancellations should be reported in accordance with the statistical plan instructions. The policy effective date should be used as the action effective date.</w:t>
      </w:r>
    </w:p>
    <w:p w14:paraId="7EC5AC06" w14:textId="08762402" w:rsidR="00902EAA" w:rsidRPr="00EC1D67" w:rsidRDefault="00926E6E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2</w:t>
      </w:r>
      <w:r w:rsidR="001A2ADD">
        <w:rPr>
          <w:rFonts w:ascii="Aptos" w:hAnsi="Aptos" w:cs="Arial"/>
          <w:b/>
          <w:bCs/>
          <w:sz w:val="24"/>
          <w:szCs w:val="24"/>
        </w:rPr>
        <w:t>5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. Are rescissions or policies voided under Chapter 705 reportable?</w:t>
      </w:r>
    </w:p>
    <w:p w14:paraId="4DD22C08" w14:textId="1FF8B513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No. Rescissions and policies voided under Texas Insurance Code Chapter 705 should not be reported.</w:t>
      </w:r>
    </w:p>
    <w:p w14:paraId="20D0E1D0" w14:textId="147793D6" w:rsidR="00902EAA" w:rsidRPr="00EC1D67" w:rsidRDefault="003D570B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2</w:t>
      </w:r>
      <w:r w:rsidR="001A2ADD">
        <w:rPr>
          <w:rFonts w:ascii="Aptos" w:hAnsi="Aptos" w:cs="Arial"/>
          <w:b/>
          <w:bCs/>
          <w:sz w:val="24"/>
          <w:szCs w:val="24"/>
        </w:rPr>
        <w:t>6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. If an application quote is declined before the application is completed, is it reportable?</w:t>
      </w:r>
    </w:p>
    <w:p w14:paraId="0873B332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No. Only completed and submitted applications that are declined should be reported.</w:t>
      </w:r>
    </w:p>
    <w:p w14:paraId="59AE3557" w14:textId="31E2520A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</w:p>
    <w:p w14:paraId="0B4142F2" w14:textId="25F79268" w:rsidR="00902EAA" w:rsidRPr="00EC1D67" w:rsidRDefault="00902EAA" w:rsidP="00902EAA">
      <w:pPr>
        <w:rPr>
          <w:rFonts w:ascii="Aptos" w:hAnsi="Aptos" w:cs="Arial"/>
          <w:b/>
          <w:bCs/>
          <w:sz w:val="24"/>
          <w:szCs w:val="24"/>
        </w:rPr>
      </w:pPr>
      <w:r w:rsidRPr="00EC1D67">
        <w:rPr>
          <w:rFonts w:ascii="Aptos" w:hAnsi="Aptos" w:cs="Arial"/>
          <w:b/>
          <w:bCs/>
          <w:sz w:val="24"/>
          <w:szCs w:val="24"/>
        </w:rPr>
        <w:lastRenderedPageBreak/>
        <w:t>2</w:t>
      </w:r>
      <w:r w:rsidR="001A2ADD">
        <w:rPr>
          <w:rFonts w:ascii="Aptos" w:hAnsi="Aptos" w:cs="Arial"/>
          <w:b/>
          <w:bCs/>
          <w:sz w:val="24"/>
          <w:szCs w:val="24"/>
        </w:rPr>
        <w:t>7</w:t>
      </w:r>
      <w:r w:rsidRPr="00EC1D67">
        <w:rPr>
          <w:rFonts w:ascii="Aptos" w:hAnsi="Aptos" w:cs="Arial"/>
          <w:b/>
          <w:bCs/>
          <w:sz w:val="24"/>
          <w:szCs w:val="24"/>
        </w:rPr>
        <w:t>. What if multiple reasons apply to a cancellation, nonrenewal, or declination?</w:t>
      </w:r>
    </w:p>
    <w:p w14:paraId="61B1E673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Report all applicable reasons using the appropriate reason codes, following the statistical plan formatting instructions.</w:t>
      </w:r>
    </w:p>
    <w:p w14:paraId="1335845B" w14:textId="2D27E816" w:rsidR="00902EAA" w:rsidRPr="00EC1D67" w:rsidRDefault="00902EAA" w:rsidP="00902EAA">
      <w:pPr>
        <w:rPr>
          <w:rFonts w:ascii="Aptos" w:hAnsi="Aptos" w:cs="Arial"/>
          <w:b/>
          <w:bCs/>
          <w:sz w:val="24"/>
          <w:szCs w:val="24"/>
        </w:rPr>
      </w:pPr>
      <w:r w:rsidRPr="00EC1D67">
        <w:rPr>
          <w:rFonts w:ascii="Aptos" w:hAnsi="Aptos" w:cs="Arial"/>
          <w:b/>
          <w:bCs/>
          <w:sz w:val="24"/>
          <w:szCs w:val="24"/>
        </w:rPr>
        <w:t>2</w:t>
      </w:r>
      <w:r w:rsidR="001A2ADD">
        <w:rPr>
          <w:rFonts w:ascii="Aptos" w:hAnsi="Aptos" w:cs="Arial"/>
          <w:b/>
          <w:bCs/>
          <w:sz w:val="24"/>
          <w:szCs w:val="24"/>
        </w:rPr>
        <w:t>8</w:t>
      </w:r>
      <w:r w:rsidRPr="00EC1D67">
        <w:rPr>
          <w:rFonts w:ascii="Aptos" w:hAnsi="Aptos" w:cs="Arial"/>
          <w:b/>
          <w:bCs/>
          <w:sz w:val="24"/>
          <w:szCs w:val="24"/>
        </w:rPr>
        <w:t>. How should policies with multiple insured locations or ZIP Codes be reported?</w:t>
      </w:r>
    </w:p>
    <w:p w14:paraId="072354F4" w14:textId="1F567625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Report using th</w:t>
      </w:r>
      <w:r w:rsidR="006708F3" w:rsidRPr="00EC1D67">
        <w:rPr>
          <w:rFonts w:ascii="Aptos" w:hAnsi="Aptos" w:cs="Arial"/>
          <w:sz w:val="24"/>
          <w:szCs w:val="24"/>
        </w:rPr>
        <w:t xml:space="preserve">e </w:t>
      </w:r>
      <w:r w:rsidRPr="00EC1D67">
        <w:rPr>
          <w:rFonts w:ascii="Aptos" w:hAnsi="Aptos" w:cs="Arial"/>
          <w:sz w:val="24"/>
          <w:szCs w:val="24"/>
        </w:rPr>
        <w:t xml:space="preserve">ZIP Code associated with </w:t>
      </w:r>
      <w:r w:rsidR="006708F3" w:rsidRPr="00EC1D67">
        <w:rPr>
          <w:rFonts w:ascii="Aptos" w:hAnsi="Aptos" w:cs="Arial"/>
          <w:sz w:val="24"/>
          <w:szCs w:val="24"/>
        </w:rPr>
        <w:t>the primary risk</w:t>
      </w:r>
      <w:r w:rsidRPr="00EC1D67">
        <w:rPr>
          <w:rFonts w:ascii="Aptos" w:hAnsi="Aptos" w:cs="Arial"/>
          <w:sz w:val="24"/>
          <w:szCs w:val="24"/>
        </w:rPr>
        <w:t xml:space="preserve"> location. </w:t>
      </w:r>
    </w:p>
    <w:p w14:paraId="29BCF265" w14:textId="579E3C21" w:rsidR="00902EAA" w:rsidRPr="00EC1D67" w:rsidRDefault="00902EAA" w:rsidP="00902EAA">
      <w:pPr>
        <w:rPr>
          <w:rFonts w:ascii="Aptos" w:hAnsi="Aptos" w:cs="Arial"/>
          <w:b/>
          <w:bCs/>
          <w:sz w:val="24"/>
          <w:szCs w:val="24"/>
        </w:rPr>
      </w:pPr>
      <w:r w:rsidRPr="00EC1D67">
        <w:rPr>
          <w:rFonts w:ascii="Aptos" w:hAnsi="Aptos" w:cs="Arial"/>
          <w:b/>
          <w:bCs/>
          <w:sz w:val="24"/>
          <w:szCs w:val="24"/>
        </w:rPr>
        <w:t>2</w:t>
      </w:r>
      <w:r w:rsidR="001A2ADD">
        <w:rPr>
          <w:rFonts w:ascii="Aptos" w:hAnsi="Aptos" w:cs="Arial"/>
          <w:b/>
          <w:bCs/>
          <w:sz w:val="24"/>
          <w:szCs w:val="24"/>
        </w:rPr>
        <w:t>9</w:t>
      </w:r>
      <w:r w:rsidRPr="00EC1D67">
        <w:rPr>
          <w:rFonts w:ascii="Aptos" w:hAnsi="Aptos" w:cs="Arial"/>
          <w:b/>
          <w:bCs/>
          <w:sz w:val="24"/>
          <w:szCs w:val="24"/>
        </w:rPr>
        <w:t>. Is a policyholder death considered a rescission?</w:t>
      </w:r>
    </w:p>
    <w:p w14:paraId="50ABC2B7" w14:textId="6E6BA5D1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The death of a policyholder would not be considered a recission under TIC Chapter 705 and would therefore need to be reported. </w:t>
      </w:r>
    </w:p>
    <w:p w14:paraId="55FD3DEB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The death of a policyholder would be a cancellation at the representative of the insured’s request. This is specifically mentioned on page 80 of the stat plan under item 10a. </w:t>
      </w:r>
    </w:p>
    <w:p w14:paraId="534B53B5" w14:textId="28CED69D" w:rsidR="00902EAA" w:rsidRPr="00EC1D67" w:rsidRDefault="001A2ADD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30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. If no notice was required under law, but a company still sends one, must it be reported?</w:t>
      </w:r>
    </w:p>
    <w:p w14:paraId="0BD72192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>If the notice falls within a reportable transaction under the statistical plan and meets the effective-date requirements, it should be reported.</w:t>
      </w:r>
    </w:p>
    <w:p w14:paraId="57C8BCCC" w14:textId="44AD78B2" w:rsidR="00902EAA" w:rsidRPr="00EC1D67" w:rsidRDefault="0066180A" w:rsidP="00902EAA">
      <w:pPr>
        <w:rPr>
          <w:rFonts w:ascii="Aptos" w:hAnsi="Aptos" w:cs="Arial"/>
          <w:b/>
          <w:bCs/>
          <w:sz w:val="24"/>
          <w:szCs w:val="24"/>
        </w:rPr>
      </w:pPr>
      <w:r>
        <w:rPr>
          <w:rFonts w:ascii="Aptos" w:hAnsi="Aptos" w:cs="Arial"/>
          <w:b/>
          <w:bCs/>
          <w:sz w:val="24"/>
          <w:szCs w:val="24"/>
        </w:rPr>
        <w:t>3</w:t>
      </w:r>
      <w:r w:rsidR="001A2ADD">
        <w:rPr>
          <w:rFonts w:ascii="Aptos" w:hAnsi="Aptos" w:cs="Arial"/>
          <w:b/>
          <w:bCs/>
          <w:sz w:val="24"/>
          <w:szCs w:val="24"/>
        </w:rPr>
        <w:t>1</w:t>
      </w:r>
      <w:r w:rsidR="00902EAA" w:rsidRPr="00EC1D67">
        <w:rPr>
          <w:rFonts w:ascii="Aptos" w:hAnsi="Aptos" w:cs="Arial"/>
          <w:b/>
          <w:bCs/>
          <w:sz w:val="24"/>
          <w:szCs w:val="24"/>
        </w:rPr>
        <w:t>. If coverage is rewritten to another affiliated company, is that a nonrenewal?</w:t>
      </w:r>
    </w:p>
    <w:p w14:paraId="4AFFB134" w14:textId="77777777" w:rsidR="00902EAA" w:rsidRPr="00EC1D67" w:rsidRDefault="00902EAA" w:rsidP="00902EAA">
      <w:pPr>
        <w:rPr>
          <w:rFonts w:ascii="Aptos" w:hAnsi="Aptos" w:cs="Arial"/>
          <w:sz w:val="24"/>
          <w:szCs w:val="24"/>
        </w:rPr>
      </w:pPr>
      <w:r w:rsidRPr="00EC1D67">
        <w:rPr>
          <w:rFonts w:ascii="Aptos" w:hAnsi="Aptos" w:cs="Arial"/>
          <w:sz w:val="24"/>
          <w:szCs w:val="24"/>
        </w:rPr>
        <w:t xml:space="preserve">Transfers between admitted companies within the same insurance group are </w:t>
      </w:r>
      <w:r w:rsidRPr="00EC1D67">
        <w:rPr>
          <w:rFonts w:ascii="Aptos" w:hAnsi="Aptos" w:cs="Arial"/>
          <w:b/>
          <w:bCs/>
          <w:sz w:val="24"/>
          <w:szCs w:val="24"/>
        </w:rPr>
        <w:t>not</w:t>
      </w:r>
      <w:r w:rsidRPr="00EC1D67">
        <w:rPr>
          <w:rFonts w:ascii="Aptos" w:hAnsi="Aptos" w:cs="Arial"/>
          <w:sz w:val="24"/>
          <w:szCs w:val="24"/>
        </w:rPr>
        <w:t xml:space="preserve"> considered refusals to renew, as stated in the plan.</w:t>
      </w:r>
    </w:p>
    <w:p w14:paraId="6D8286E8" w14:textId="5C16ED70" w:rsidR="00404DC9" w:rsidRPr="00EC1D67" w:rsidRDefault="00B94EB8" w:rsidP="00404DC9">
      <w:pPr>
        <w:rPr>
          <w:rFonts w:ascii="Aptos" w:hAnsi="Aptos" w:cs="Arial"/>
          <w:sz w:val="24"/>
          <w:szCs w:val="24"/>
        </w:rPr>
      </w:pPr>
      <w:r>
        <w:rPr>
          <w:rFonts w:ascii="Aptos" w:hAnsi="Aptos" w:cs="Arial"/>
          <w:b/>
          <w:sz w:val="24"/>
          <w:szCs w:val="24"/>
        </w:rPr>
        <w:t>3</w:t>
      </w:r>
      <w:r w:rsidR="001A2ADD">
        <w:rPr>
          <w:rFonts w:ascii="Aptos" w:hAnsi="Aptos" w:cs="Arial"/>
          <w:b/>
          <w:sz w:val="24"/>
          <w:szCs w:val="24"/>
        </w:rPr>
        <w:t>2</w:t>
      </w:r>
      <w:r w:rsidR="00404DC9" w:rsidRPr="00EC1D67">
        <w:rPr>
          <w:rFonts w:ascii="Aptos" w:hAnsi="Aptos" w:cs="Arial"/>
          <w:b/>
          <w:sz w:val="24"/>
          <w:szCs w:val="24"/>
        </w:rPr>
        <w:t>. How is</w:t>
      </w:r>
      <w:r w:rsidR="00A4478E">
        <w:rPr>
          <w:rFonts w:ascii="Aptos" w:hAnsi="Aptos" w:cs="Arial"/>
          <w:b/>
          <w:sz w:val="24"/>
          <w:szCs w:val="24"/>
        </w:rPr>
        <w:t xml:space="preserve"> the term ‘application’</w:t>
      </w:r>
      <w:r w:rsidR="00404DC9" w:rsidRPr="00EC1D67">
        <w:rPr>
          <w:rFonts w:ascii="Aptos" w:hAnsi="Aptos" w:cs="Arial"/>
          <w:b/>
          <w:sz w:val="24"/>
          <w:szCs w:val="24"/>
        </w:rPr>
        <w:t xml:space="preserve"> </w:t>
      </w:r>
      <w:r w:rsidR="00AC0103">
        <w:rPr>
          <w:rFonts w:ascii="Aptos" w:hAnsi="Aptos" w:cs="Arial"/>
          <w:b/>
          <w:sz w:val="24"/>
          <w:szCs w:val="24"/>
        </w:rPr>
        <w:t xml:space="preserve">interpreted </w:t>
      </w:r>
      <w:r w:rsidR="00404DC9" w:rsidRPr="00EC1D67">
        <w:rPr>
          <w:rFonts w:ascii="Aptos" w:hAnsi="Aptos" w:cs="Arial"/>
          <w:b/>
          <w:sz w:val="24"/>
          <w:szCs w:val="24"/>
        </w:rPr>
        <w:t>for HB 2067 reporting?</w:t>
      </w:r>
    </w:p>
    <w:p w14:paraId="320C85DF" w14:textId="51B71B51" w:rsidR="008B196A" w:rsidRDefault="00AC0103" w:rsidP="00740524">
      <w:pPr>
        <w:spacing w:before="100" w:beforeAutospacing="1" w:after="100" w:afterAutospacing="1"/>
        <w:rPr>
          <w:rFonts w:ascii="Aptos" w:eastAsia="Times New Roman" w:hAnsi="Aptos" w:cs="Arial"/>
          <w:sz w:val="24"/>
          <w:szCs w:val="24"/>
        </w:rPr>
      </w:pPr>
      <w:r>
        <w:rPr>
          <w:rFonts w:ascii="Aptos" w:eastAsia="Times New Roman" w:hAnsi="Aptos" w:cs="Arial"/>
          <w:sz w:val="24"/>
          <w:szCs w:val="24"/>
        </w:rPr>
        <w:t>While the term application is not explicitly defined in the statistical plan, in the insurance industry</w:t>
      </w:r>
      <w:r w:rsidR="00E54CF6">
        <w:rPr>
          <w:rFonts w:ascii="Aptos" w:eastAsia="Times New Roman" w:hAnsi="Aptos" w:cs="Arial"/>
          <w:sz w:val="24"/>
          <w:szCs w:val="24"/>
        </w:rPr>
        <w:t xml:space="preserve"> an “application” generally refers to an application for insurance coverage.  A denied “application” qualifies as a “declination” </w:t>
      </w:r>
      <w:r w:rsidR="009C12C1">
        <w:rPr>
          <w:rFonts w:ascii="Aptos" w:eastAsia="Times New Roman" w:hAnsi="Aptos" w:cs="Arial"/>
          <w:sz w:val="24"/>
          <w:szCs w:val="24"/>
        </w:rPr>
        <w:t xml:space="preserve">(of </w:t>
      </w:r>
      <w:proofErr w:type="spellStart"/>
      <w:r w:rsidR="009C12C1">
        <w:rPr>
          <w:rFonts w:ascii="Aptos" w:eastAsia="Times New Roman" w:hAnsi="Aptos" w:cs="Arial"/>
          <w:sz w:val="24"/>
          <w:szCs w:val="24"/>
        </w:rPr>
        <w:t>coverge</w:t>
      </w:r>
      <w:proofErr w:type="spellEnd"/>
      <w:r w:rsidR="009C12C1">
        <w:rPr>
          <w:rFonts w:ascii="Aptos" w:eastAsia="Times New Roman" w:hAnsi="Aptos" w:cs="Arial"/>
          <w:sz w:val="24"/>
          <w:szCs w:val="24"/>
        </w:rPr>
        <w:t>).</w:t>
      </w:r>
    </w:p>
    <w:p w14:paraId="24FC1A6C" w14:textId="60A117F1" w:rsidR="009C12C1" w:rsidRPr="00EC1D67" w:rsidRDefault="009C12C1" w:rsidP="00740524">
      <w:pPr>
        <w:spacing w:before="100" w:beforeAutospacing="1" w:after="100" w:afterAutospacing="1"/>
        <w:rPr>
          <w:rFonts w:ascii="Aptos" w:hAnsi="Aptos" w:cs="Arial"/>
          <w:b/>
          <w:bCs/>
          <w:sz w:val="24"/>
          <w:szCs w:val="24"/>
        </w:rPr>
      </w:pPr>
      <w:r>
        <w:rPr>
          <w:rFonts w:ascii="Aptos" w:eastAsia="Times New Roman" w:hAnsi="Aptos" w:cs="Arial"/>
          <w:sz w:val="24"/>
          <w:szCs w:val="24"/>
        </w:rPr>
        <w:t xml:space="preserve">Note that once a policy is bound, and coverage is in place, any adverse actions taken after binding are treated as </w:t>
      </w:r>
      <w:r w:rsidR="00717109">
        <w:rPr>
          <w:rFonts w:ascii="Aptos" w:eastAsia="Times New Roman" w:hAnsi="Aptos" w:cs="Arial"/>
          <w:sz w:val="24"/>
          <w:szCs w:val="24"/>
        </w:rPr>
        <w:t>cancellations</w:t>
      </w:r>
      <w:r>
        <w:rPr>
          <w:rFonts w:ascii="Aptos" w:eastAsia="Times New Roman" w:hAnsi="Aptos" w:cs="Arial"/>
          <w:sz w:val="24"/>
          <w:szCs w:val="24"/>
        </w:rPr>
        <w:t xml:space="preserve"> or non-renewals</w:t>
      </w:r>
      <w:r w:rsidR="00717109">
        <w:rPr>
          <w:rFonts w:ascii="Aptos" w:eastAsia="Times New Roman" w:hAnsi="Aptos" w:cs="Arial"/>
          <w:sz w:val="24"/>
          <w:szCs w:val="24"/>
        </w:rPr>
        <w:t>.</w:t>
      </w:r>
    </w:p>
    <w:sectPr w:rsidR="009C12C1" w:rsidRPr="00EC1D67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69330955">
    <w:abstractNumId w:val="8"/>
  </w:num>
  <w:num w:numId="2" w16cid:durableId="818303256">
    <w:abstractNumId w:val="6"/>
  </w:num>
  <w:num w:numId="3" w16cid:durableId="929774628">
    <w:abstractNumId w:val="5"/>
  </w:num>
  <w:num w:numId="4" w16cid:durableId="851646593">
    <w:abstractNumId w:val="4"/>
  </w:num>
  <w:num w:numId="5" w16cid:durableId="810442280">
    <w:abstractNumId w:val="7"/>
  </w:num>
  <w:num w:numId="6" w16cid:durableId="1231161918">
    <w:abstractNumId w:val="3"/>
  </w:num>
  <w:num w:numId="7" w16cid:durableId="1716276993">
    <w:abstractNumId w:val="2"/>
  </w:num>
  <w:num w:numId="8" w16cid:durableId="653217615">
    <w:abstractNumId w:val="1"/>
  </w:num>
  <w:num w:numId="9" w16cid:durableId="578100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2051A"/>
    <w:rsid w:val="00023152"/>
    <w:rsid w:val="00025812"/>
    <w:rsid w:val="00034616"/>
    <w:rsid w:val="0006063C"/>
    <w:rsid w:val="00093913"/>
    <w:rsid w:val="000B7108"/>
    <w:rsid w:val="0010414D"/>
    <w:rsid w:val="001128D5"/>
    <w:rsid w:val="00114D13"/>
    <w:rsid w:val="0015074B"/>
    <w:rsid w:val="00165F48"/>
    <w:rsid w:val="00191FD9"/>
    <w:rsid w:val="001A2ADD"/>
    <w:rsid w:val="001C5F65"/>
    <w:rsid w:val="001E54B8"/>
    <w:rsid w:val="002019BD"/>
    <w:rsid w:val="00257081"/>
    <w:rsid w:val="00260B52"/>
    <w:rsid w:val="0029639D"/>
    <w:rsid w:val="002A381C"/>
    <w:rsid w:val="002C29D7"/>
    <w:rsid w:val="002C303C"/>
    <w:rsid w:val="002C348F"/>
    <w:rsid w:val="002D3B5A"/>
    <w:rsid w:val="00300B73"/>
    <w:rsid w:val="00301721"/>
    <w:rsid w:val="00303054"/>
    <w:rsid w:val="00326F90"/>
    <w:rsid w:val="00354449"/>
    <w:rsid w:val="00356841"/>
    <w:rsid w:val="00367534"/>
    <w:rsid w:val="0037043E"/>
    <w:rsid w:val="00390F90"/>
    <w:rsid w:val="003D3E05"/>
    <w:rsid w:val="003D570B"/>
    <w:rsid w:val="00404DC9"/>
    <w:rsid w:val="00422313"/>
    <w:rsid w:val="00426077"/>
    <w:rsid w:val="00437973"/>
    <w:rsid w:val="004461DE"/>
    <w:rsid w:val="00484C6E"/>
    <w:rsid w:val="004A4F8B"/>
    <w:rsid w:val="004C1D64"/>
    <w:rsid w:val="004C565A"/>
    <w:rsid w:val="004F5682"/>
    <w:rsid w:val="00523298"/>
    <w:rsid w:val="00534B4A"/>
    <w:rsid w:val="00544C26"/>
    <w:rsid w:val="00546D0A"/>
    <w:rsid w:val="00576171"/>
    <w:rsid w:val="005A6628"/>
    <w:rsid w:val="005B6067"/>
    <w:rsid w:val="005C462E"/>
    <w:rsid w:val="005E1BAE"/>
    <w:rsid w:val="005F0919"/>
    <w:rsid w:val="005F0E11"/>
    <w:rsid w:val="00642024"/>
    <w:rsid w:val="0066180A"/>
    <w:rsid w:val="006708F3"/>
    <w:rsid w:val="0069798D"/>
    <w:rsid w:val="006B1B18"/>
    <w:rsid w:val="006B1EF3"/>
    <w:rsid w:val="006B3DFC"/>
    <w:rsid w:val="006B5877"/>
    <w:rsid w:val="006C06EC"/>
    <w:rsid w:val="006C2981"/>
    <w:rsid w:val="006C544E"/>
    <w:rsid w:val="00717109"/>
    <w:rsid w:val="00740524"/>
    <w:rsid w:val="007849FA"/>
    <w:rsid w:val="007A2C11"/>
    <w:rsid w:val="007B73D1"/>
    <w:rsid w:val="007F7F8D"/>
    <w:rsid w:val="00823C55"/>
    <w:rsid w:val="008260F4"/>
    <w:rsid w:val="008432EC"/>
    <w:rsid w:val="00845C7B"/>
    <w:rsid w:val="0084745F"/>
    <w:rsid w:val="00851974"/>
    <w:rsid w:val="00883361"/>
    <w:rsid w:val="008A1370"/>
    <w:rsid w:val="008B196A"/>
    <w:rsid w:val="008F07C7"/>
    <w:rsid w:val="008F2FFE"/>
    <w:rsid w:val="00902EAA"/>
    <w:rsid w:val="00904249"/>
    <w:rsid w:val="009133DC"/>
    <w:rsid w:val="00921DFF"/>
    <w:rsid w:val="00926E6E"/>
    <w:rsid w:val="00952AF1"/>
    <w:rsid w:val="00983FF6"/>
    <w:rsid w:val="009C085D"/>
    <w:rsid w:val="009C12C1"/>
    <w:rsid w:val="009C5273"/>
    <w:rsid w:val="009E0AFA"/>
    <w:rsid w:val="009F4E84"/>
    <w:rsid w:val="00A21825"/>
    <w:rsid w:val="00A30E73"/>
    <w:rsid w:val="00A4478E"/>
    <w:rsid w:val="00A95B3A"/>
    <w:rsid w:val="00AA1D8D"/>
    <w:rsid w:val="00AB3CB7"/>
    <w:rsid w:val="00AC0103"/>
    <w:rsid w:val="00B060CE"/>
    <w:rsid w:val="00B3319B"/>
    <w:rsid w:val="00B4425B"/>
    <w:rsid w:val="00B4437A"/>
    <w:rsid w:val="00B47730"/>
    <w:rsid w:val="00B578D6"/>
    <w:rsid w:val="00B65284"/>
    <w:rsid w:val="00B8570D"/>
    <w:rsid w:val="00B92297"/>
    <w:rsid w:val="00B94EB8"/>
    <w:rsid w:val="00B97711"/>
    <w:rsid w:val="00BA7CB1"/>
    <w:rsid w:val="00BF12F7"/>
    <w:rsid w:val="00BF6EB0"/>
    <w:rsid w:val="00C36AE3"/>
    <w:rsid w:val="00C458A8"/>
    <w:rsid w:val="00C60295"/>
    <w:rsid w:val="00C61E08"/>
    <w:rsid w:val="00C749FE"/>
    <w:rsid w:val="00CB0664"/>
    <w:rsid w:val="00D445FC"/>
    <w:rsid w:val="00D84DED"/>
    <w:rsid w:val="00DB688A"/>
    <w:rsid w:val="00DC7A84"/>
    <w:rsid w:val="00E5272B"/>
    <w:rsid w:val="00E54CF6"/>
    <w:rsid w:val="00E742DE"/>
    <w:rsid w:val="00EC1D67"/>
    <w:rsid w:val="00EC334E"/>
    <w:rsid w:val="00EE34BC"/>
    <w:rsid w:val="00F2724E"/>
    <w:rsid w:val="00F52FF3"/>
    <w:rsid w:val="00F6101C"/>
    <w:rsid w:val="00F6126E"/>
    <w:rsid w:val="00F843B3"/>
    <w:rsid w:val="00F853F4"/>
    <w:rsid w:val="00F868D9"/>
    <w:rsid w:val="00FC693F"/>
    <w:rsid w:val="00FD5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062061"/>
  <w14:defaultImageDpi w14:val="300"/>
  <w15:docId w15:val="{BCC1B4C3-0F27-4F11-BE70-5989DDA6E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2A381C"/>
    <w:rPr>
      <w:color w:val="467886"/>
      <w:u w:val="single"/>
    </w:rPr>
  </w:style>
  <w:style w:type="paragraph" w:styleId="NormalWeb">
    <w:name w:val="Normal (Web)"/>
    <w:basedOn w:val="Normal"/>
    <w:uiPriority w:val="99"/>
    <w:unhideWhenUsed/>
    <w:rsid w:val="002A381C"/>
    <w:pPr>
      <w:spacing w:before="100" w:beforeAutospacing="1" w:after="100" w:afterAutospacing="1" w:line="240" w:lineRule="auto"/>
    </w:pPr>
    <w:rPr>
      <w:rFonts w:ascii="Aptos" w:eastAsiaTheme="minorHAnsi" w:hAnsi="Aptos" w:cs="Aptos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578D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F568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A01530DF881E4F9E2B0C5032C9670D" ma:contentTypeVersion="7" ma:contentTypeDescription="Create a new document." ma:contentTypeScope="" ma:versionID="8f56a2f35c44bd4677914d72803ca586">
  <xsd:schema xmlns:xsd="http://www.w3.org/2001/XMLSchema" xmlns:xs="http://www.w3.org/2001/XMLSchema" xmlns:p="http://schemas.microsoft.com/office/2006/metadata/properties" xmlns:ns2="6c1651ec-2802-407b-8723-66443cb95d0f" targetNamespace="http://schemas.microsoft.com/office/2006/metadata/properties" ma:root="true" ma:fieldsID="cc5a5e9818d8cfcdb9361dc37736f784" ns2:_="">
    <xsd:import namespace="6c1651ec-2802-407b-8723-66443cb95d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1651ec-2802-407b-8723-66443cb95d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2D938F-BED3-400B-8509-350E3F31D0C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A6A30EF-F983-447E-92B3-49E453D15C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1651ec-2802-407b-8723-66443cb95d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B712C7E-88CC-47F9-A756-B21C3ED936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6</Pages>
  <Words>1602</Words>
  <Characters>9135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10716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Stella Freeman Embrey</cp:lastModifiedBy>
  <cp:revision>112</cp:revision>
  <cp:lastPrinted>2026-04-30T19:47:00Z</cp:lastPrinted>
  <dcterms:created xsi:type="dcterms:W3CDTF">2013-12-23T23:15:00Z</dcterms:created>
  <dcterms:modified xsi:type="dcterms:W3CDTF">2026-04-30T19:47:00Z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0x01010085A01530DF881E4F9E2B0C5032C9670D</vt:lpwstr>
  </property>
  <property fmtid="{D5CDD505-2E9C-101B-9397-08002B2CF9AE}" pid="3" name="docLang">
    <vt:lpwstr>en</vt:lpwstr>
  </property>
</Properties>
</file>